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C8E038">
      <w:pPr>
        <w:jc w:val="center"/>
        <w:rPr>
          <w:rFonts w:ascii="微软雅黑" w:hAnsi="微软雅黑" w:eastAsia="微软雅黑" w:cs="微软雅黑"/>
          <w:b/>
          <w:bCs/>
          <w:sz w:val="84"/>
          <w:szCs w:val="84"/>
        </w:rPr>
      </w:pPr>
      <w:r>
        <w:rPr>
          <w:rFonts w:hint="eastAsia" w:ascii="微软雅黑" w:hAnsi="微软雅黑" w:eastAsia="微软雅黑" w:cs="微软雅黑"/>
          <w:b/>
          <w:bCs/>
          <w:sz w:val="84"/>
          <w:szCs w:val="84"/>
        </w:rPr>
        <w:t>2017年度</w:t>
      </w:r>
    </w:p>
    <w:p w14:paraId="3BFA307C">
      <w:pPr>
        <w:jc w:val="center"/>
        <w:rPr>
          <w:rFonts w:ascii="微软雅黑" w:hAnsi="微软雅黑" w:eastAsia="微软雅黑" w:cs="微软雅黑"/>
          <w:b/>
          <w:bCs/>
          <w:sz w:val="84"/>
          <w:szCs w:val="84"/>
        </w:rPr>
      </w:pPr>
      <w:r>
        <w:rPr>
          <w:rFonts w:hint="eastAsia" w:ascii="微软雅黑" w:hAnsi="微软雅黑" w:eastAsia="微软雅黑" w:cs="微软雅黑"/>
          <w:b/>
          <w:bCs/>
          <w:sz w:val="84"/>
          <w:szCs w:val="84"/>
        </w:rPr>
        <w:t>沧州经济开发区管委会</w:t>
      </w:r>
    </w:p>
    <w:p w14:paraId="0693F8A2">
      <w:pPr>
        <w:jc w:val="center"/>
        <w:rPr>
          <w:rFonts w:ascii="微软雅黑" w:hAnsi="微软雅黑" w:eastAsia="微软雅黑" w:cs="微软雅黑"/>
          <w:b/>
          <w:bCs/>
          <w:sz w:val="84"/>
          <w:szCs w:val="84"/>
        </w:rPr>
      </w:pPr>
      <w:r>
        <w:rPr>
          <w:rFonts w:hint="eastAsia" w:ascii="微软雅黑" w:hAnsi="微软雅黑" w:eastAsia="微软雅黑" w:cs="微软雅黑"/>
          <w:b/>
          <w:bCs/>
          <w:sz w:val="84"/>
          <w:szCs w:val="84"/>
        </w:rPr>
        <w:t>部门决算公开</w:t>
      </w:r>
    </w:p>
    <w:p w14:paraId="79A98C65">
      <w:pPr>
        <w:jc w:val="center"/>
        <w:rPr>
          <w:rFonts w:ascii="微软雅黑" w:hAnsi="微软雅黑" w:eastAsia="微软雅黑" w:cs="微软雅黑"/>
          <w:b/>
          <w:bCs/>
          <w:sz w:val="30"/>
          <w:szCs w:val="30"/>
        </w:rPr>
      </w:pPr>
    </w:p>
    <w:p w14:paraId="05AAA525">
      <w:pPr>
        <w:jc w:val="center"/>
        <w:rPr>
          <w:rFonts w:ascii="微软雅黑" w:hAnsi="微软雅黑" w:eastAsia="微软雅黑" w:cs="微软雅黑"/>
          <w:b/>
          <w:bCs/>
          <w:sz w:val="30"/>
          <w:szCs w:val="30"/>
        </w:rPr>
      </w:pPr>
    </w:p>
    <w:p w14:paraId="1AE3E417">
      <w:pPr>
        <w:jc w:val="center"/>
        <w:rPr>
          <w:rFonts w:ascii="微软雅黑" w:hAnsi="微软雅黑" w:eastAsia="微软雅黑" w:cs="微软雅黑"/>
          <w:b/>
          <w:bCs/>
          <w:sz w:val="30"/>
          <w:szCs w:val="30"/>
        </w:rPr>
      </w:pPr>
    </w:p>
    <w:p w14:paraId="41F6DCD6">
      <w:pPr>
        <w:jc w:val="center"/>
        <w:rPr>
          <w:rFonts w:ascii="微软雅黑" w:hAnsi="微软雅黑" w:eastAsia="微软雅黑" w:cs="微软雅黑"/>
          <w:b/>
          <w:bCs/>
          <w:sz w:val="30"/>
          <w:szCs w:val="30"/>
        </w:rPr>
      </w:pPr>
    </w:p>
    <w:p w14:paraId="4FCFC3F1">
      <w:pPr>
        <w:jc w:val="center"/>
        <w:rPr>
          <w:rFonts w:ascii="微软雅黑" w:hAnsi="微软雅黑" w:eastAsia="微软雅黑" w:cs="微软雅黑"/>
          <w:b/>
          <w:bCs/>
          <w:sz w:val="30"/>
          <w:szCs w:val="30"/>
        </w:rPr>
      </w:pPr>
    </w:p>
    <w:p w14:paraId="0CF098C3">
      <w:pPr>
        <w:jc w:val="center"/>
        <w:rPr>
          <w:rFonts w:ascii="微软雅黑" w:hAnsi="微软雅黑" w:eastAsia="微软雅黑" w:cs="微软雅黑"/>
          <w:b/>
          <w:bCs/>
          <w:sz w:val="30"/>
          <w:szCs w:val="30"/>
        </w:rPr>
      </w:pPr>
    </w:p>
    <w:p w14:paraId="5305EBF3">
      <w:pPr>
        <w:jc w:val="center"/>
        <w:rPr>
          <w:rFonts w:ascii="微软雅黑" w:hAnsi="微软雅黑" w:eastAsia="微软雅黑" w:cs="微软雅黑"/>
          <w:b/>
          <w:bCs/>
          <w:sz w:val="30"/>
          <w:szCs w:val="30"/>
        </w:rPr>
      </w:pPr>
    </w:p>
    <w:p w14:paraId="7B381A38">
      <w:pPr>
        <w:jc w:val="center"/>
        <w:rPr>
          <w:rFonts w:ascii="微软雅黑" w:hAnsi="微软雅黑" w:eastAsia="微软雅黑" w:cs="微软雅黑"/>
          <w:b/>
          <w:bCs/>
          <w:sz w:val="30"/>
          <w:szCs w:val="30"/>
        </w:rPr>
      </w:pPr>
    </w:p>
    <w:p w14:paraId="3B6067DC">
      <w:pPr>
        <w:jc w:val="center"/>
        <w:rPr>
          <w:rFonts w:ascii="微软雅黑" w:hAnsi="微软雅黑" w:eastAsia="微软雅黑" w:cs="微软雅黑"/>
          <w:b/>
          <w:bCs/>
          <w:sz w:val="30"/>
          <w:szCs w:val="30"/>
        </w:rPr>
      </w:pPr>
    </w:p>
    <w:p w14:paraId="21EE4F03">
      <w:pPr>
        <w:jc w:val="center"/>
        <w:rPr>
          <w:rFonts w:ascii="微软雅黑" w:hAnsi="微软雅黑" w:eastAsia="微软雅黑" w:cs="微软雅黑"/>
          <w:b/>
          <w:bCs/>
          <w:sz w:val="30"/>
          <w:szCs w:val="30"/>
        </w:rPr>
      </w:pPr>
    </w:p>
    <w:p w14:paraId="1F03B446">
      <w:pPr>
        <w:jc w:val="center"/>
        <w:rPr>
          <w:rFonts w:ascii="微软雅黑" w:hAnsi="微软雅黑" w:eastAsia="微软雅黑" w:cs="微软雅黑"/>
          <w:b/>
          <w:bCs/>
          <w:sz w:val="30"/>
          <w:szCs w:val="30"/>
        </w:rPr>
      </w:pPr>
    </w:p>
    <w:p w14:paraId="543E47CC">
      <w:pPr>
        <w:jc w:val="center"/>
        <w:rPr>
          <w:rFonts w:ascii="微软雅黑" w:hAnsi="微软雅黑" w:eastAsia="微软雅黑" w:cs="微软雅黑"/>
          <w:b/>
          <w:bCs/>
          <w:sz w:val="30"/>
          <w:szCs w:val="30"/>
        </w:rPr>
      </w:pPr>
    </w:p>
    <w:p w14:paraId="1EC3AF54">
      <w:pPr>
        <w:ind w:firstLine="3302" w:firstLineChars="1100"/>
        <w:rPr>
          <w:rFonts w:ascii="微软雅黑" w:hAnsi="微软雅黑" w:eastAsia="微软雅黑" w:cs="微软雅黑"/>
          <w:b/>
          <w:bCs/>
          <w:sz w:val="30"/>
          <w:szCs w:val="30"/>
        </w:rPr>
      </w:pPr>
      <w:r>
        <w:rPr>
          <w:rFonts w:hint="eastAsia" w:ascii="微软雅黑" w:hAnsi="微软雅黑" w:eastAsia="微软雅黑" w:cs="微软雅黑"/>
          <w:b/>
          <w:bCs/>
          <w:sz w:val="30"/>
          <w:szCs w:val="30"/>
        </w:rPr>
        <w:t>开发区管理委员会</w:t>
      </w:r>
    </w:p>
    <w:p w14:paraId="28B94AE5">
      <w:pPr>
        <w:ind w:firstLine="3602" w:firstLineChars="1200"/>
        <w:rPr>
          <w:rFonts w:ascii="微软雅黑" w:hAnsi="微软雅黑" w:eastAsia="微软雅黑" w:cs="微软雅黑"/>
          <w:b/>
          <w:bCs/>
          <w:sz w:val="30"/>
          <w:szCs w:val="30"/>
        </w:rPr>
        <w:sectPr>
          <w:pgSz w:w="11906" w:h="16838"/>
          <w:pgMar w:top="1440" w:right="1080" w:bottom="1440" w:left="1080" w:header="851" w:footer="992" w:gutter="0"/>
          <w:cols w:space="0" w:num="1"/>
          <w:docGrid w:type="lines" w:linePitch="319" w:charSpace="0"/>
        </w:sectPr>
      </w:pPr>
      <w:r>
        <w:rPr>
          <w:rFonts w:hint="eastAsia" w:ascii="微软雅黑" w:hAnsi="微软雅黑" w:eastAsia="微软雅黑" w:cs="微软雅黑"/>
          <w:b/>
          <w:bCs/>
          <w:sz w:val="30"/>
          <w:szCs w:val="30"/>
        </w:rPr>
        <w:t>2018年7月</w:t>
      </w:r>
    </w:p>
    <w:p w14:paraId="2A6C1435">
      <w:pPr>
        <w:jc w:val="center"/>
        <w:rPr>
          <w:rFonts w:ascii="微软雅黑" w:hAnsi="微软雅黑" w:eastAsia="微软雅黑" w:cs="微软雅黑"/>
          <w:b/>
          <w:bCs/>
          <w:sz w:val="28"/>
          <w:szCs w:val="28"/>
        </w:rPr>
      </w:pPr>
      <w:r>
        <w:rPr>
          <w:rFonts w:hint="eastAsia" w:ascii="微软雅黑" w:hAnsi="微软雅黑" w:eastAsia="微软雅黑" w:cs="微软雅黑"/>
          <w:b/>
          <w:bCs/>
          <w:sz w:val="30"/>
          <w:szCs w:val="30"/>
        </w:rPr>
        <w:t>目录</w:t>
      </w:r>
    </w:p>
    <w:p w14:paraId="6F9D9AE7">
      <w:pPr>
        <w:rPr>
          <w:rFonts w:ascii="微软雅黑" w:hAnsi="微软雅黑" w:eastAsia="微软雅黑" w:cs="微软雅黑"/>
          <w:b/>
          <w:bCs/>
          <w:sz w:val="30"/>
          <w:szCs w:val="30"/>
        </w:rPr>
      </w:pPr>
      <w:r>
        <w:rPr>
          <w:rFonts w:hint="eastAsia" w:ascii="微软雅黑" w:hAnsi="微软雅黑" w:eastAsia="微软雅黑" w:cs="微软雅黑"/>
          <w:b/>
          <w:bCs/>
          <w:sz w:val="30"/>
          <w:szCs w:val="30"/>
        </w:rPr>
        <w:t>第一部分开发区管委会概况</w:t>
      </w:r>
    </w:p>
    <w:p w14:paraId="125D1EB7">
      <w:pPr>
        <w:numPr>
          <w:ilvl w:val="0"/>
          <w:numId w:val="1"/>
        </w:numPr>
        <w:rPr>
          <w:rFonts w:ascii="微软雅黑" w:hAnsi="微软雅黑" w:eastAsia="微软雅黑" w:cs="微软雅黑"/>
          <w:sz w:val="28"/>
          <w:szCs w:val="28"/>
        </w:rPr>
      </w:pPr>
      <w:r>
        <w:rPr>
          <w:rFonts w:hint="eastAsia" w:ascii="微软雅黑" w:hAnsi="微软雅黑" w:eastAsia="微软雅黑" w:cs="微软雅黑"/>
          <w:sz w:val="28"/>
          <w:szCs w:val="28"/>
        </w:rPr>
        <w:t>主要职能</w:t>
      </w:r>
    </w:p>
    <w:p w14:paraId="6BCF6314">
      <w:pPr>
        <w:numPr>
          <w:ilvl w:val="0"/>
          <w:numId w:val="1"/>
        </w:numPr>
        <w:rPr>
          <w:rFonts w:ascii="微软雅黑" w:hAnsi="微软雅黑" w:eastAsia="微软雅黑" w:cs="微软雅黑"/>
          <w:sz w:val="28"/>
          <w:szCs w:val="28"/>
        </w:rPr>
      </w:pPr>
      <w:r>
        <w:rPr>
          <w:rFonts w:hint="eastAsia" w:ascii="微软雅黑" w:hAnsi="微软雅黑" w:eastAsia="微软雅黑" w:cs="微软雅黑"/>
          <w:sz w:val="28"/>
          <w:szCs w:val="28"/>
        </w:rPr>
        <w:t>机构设置</w:t>
      </w:r>
    </w:p>
    <w:p w14:paraId="2F3F3067">
      <w:pPr>
        <w:rPr>
          <w:rFonts w:ascii="微软雅黑" w:hAnsi="微软雅黑" w:eastAsia="微软雅黑" w:cs="微软雅黑"/>
          <w:b/>
          <w:bCs/>
          <w:sz w:val="30"/>
          <w:szCs w:val="30"/>
        </w:rPr>
      </w:pPr>
      <w:r>
        <w:rPr>
          <w:rFonts w:hint="eastAsia" w:ascii="微软雅黑" w:hAnsi="微软雅黑" w:eastAsia="微软雅黑" w:cs="微软雅黑"/>
          <w:b/>
          <w:bCs/>
          <w:sz w:val="30"/>
          <w:szCs w:val="30"/>
        </w:rPr>
        <w:t>第二部分 2017年度开发区部门决算表</w:t>
      </w:r>
    </w:p>
    <w:p w14:paraId="5E60D95D">
      <w:pPr>
        <w:numPr>
          <w:ilvl w:val="0"/>
          <w:numId w:val="2"/>
        </w:numPr>
        <w:rPr>
          <w:rFonts w:ascii="微软雅黑" w:hAnsi="微软雅黑" w:eastAsia="微软雅黑" w:cs="微软雅黑"/>
          <w:sz w:val="28"/>
          <w:szCs w:val="28"/>
        </w:rPr>
      </w:pPr>
      <w:r>
        <w:rPr>
          <w:rFonts w:hint="eastAsia" w:ascii="微软雅黑" w:hAnsi="微软雅黑" w:eastAsia="微软雅黑" w:cs="微软雅黑"/>
          <w:sz w:val="28"/>
          <w:szCs w:val="28"/>
        </w:rPr>
        <w:t>收入支出决算总表</w:t>
      </w:r>
    </w:p>
    <w:p w14:paraId="2C7164D5">
      <w:pPr>
        <w:numPr>
          <w:ilvl w:val="0"/>
          <w:numId w:val="2"/>
        </w:numPr>
        <w:rPr>
          <w:rFonts w:ascii="微软雅黑" w:hAnsi="微软雅黑" w:eastAsia="微软雅黑" w:cs="微软雅黑"/>
          <w:sz w:val="28"/>
          <w:szCs w:val="28"/>
        </w:rPr>
      </w:pPr>
      <w:r>
        <w:rPr>
          <w:rFonts w:hint="eastAsia" w:ascii="微软雅黑" w:hAnsi="微软雅黑" w:eastAsia="微软雅黑" w:cs="微软雅黑"/>
          <w:sz w:val="28"/>
          <w:szCs w:val="28"/>
        </w:rPr>
        <w:t>收入决算表</w:t>
      </w:r>
    </w:p>
    <w:p w14:paraId="07CE0445">
      <w:pPr>
        <w:numPr>
          <w:ilvl w:val="0"/>
          <w:numId w:val="2"/>
        </w:numPr>
        <w:rPr>
          <w:rFonts w:ascii="微软雅黑" w:hAnsi="微软雅黑" w:eastAsia="微软雅黑" w:cs="微软雅黑"/>
          <w:sz w:val="28"/>
          <w:szCs w:val="28"/>
        </w:rPr>
      </w:pPr>
      <w:r>
        <w:rPr>
          <w:rFonts w:hint="eastAsia" w:ascii="微软雅黑" w:hAnsi="微软雅黑" w:eastAsia="微软雅黑" w:cs="微软雅黑"/>
          <w:sz w:val="28"/>
          <w:szCs w:val="28"/>
        </w:rPr>
        <w:t>支出决算表</w:t>
      </w:r>
    </w:p>
    <w:p w14:paraId="176069FC">
      <w:pPr>
        <w:numPr>
          <w:ilvl w:val="0"/>
          <w:numId w:val="2"/>
        </w:numPr>
        <w:rPr>
          <w:rFonts w:ascii="微软雅黑" w:hAnsi="微软雅黑" w:eastAsia="微软雅黑" w:cs="微软雅黑"/>
          <w:sz w:val="28"/>
          <w:szCs w:val="28"/>
        </w:rPr>
      </w:pPr>
      <w:r>
        <w:rPr>
          <w:rFonts w:hint="eastAsia" w:ascii="微软雅黑" w:hAnsi="微软雅黑" w:eastAsia="微软雅黑" w:cs="微软雅黑"/>
          <w:sz w:val="28"/>
          <w:szCs w:val="28"/>
        </w:rPr>
        <w:t>财政拨款收入支出决算总表</w:t>
      </w:r>
    </w:p>
    <w:p w14:paraId="31E91909">
      <w:pPr>
        <w:numPr>
          <w:ilvl w:val="0"/>
          <w:numId w:val="2"/>
        </w:numPr>
        <w:rPr>
          <w:rFonts w:ascii="微软雅黑" w:hAnsi="微软雅黑" w:eastAsia="微软雅黑" w:cs="微软雅黑"/>
          <w:sz w:val="28"/>
          <w:szCs w:val="28"/>
        </w:rPr>
      </w:pPr>
      <w:r>
        <w:rPr>
          <w:rFonts w:hint="eastAsia" w:ascii="微软雅黑" w:hAnsi="微软雅黑" w:eastAsia="微软雅黑" w:cs="微软雅黑"/>
          <w:sz w:val="28"/>
          <w:szCs w:val="28"/>
        </w:rPr>
        <w:t>一般公共预算财政拨款支出决算表</w:t>
      </w:r>
    </w:p>
    <w:p w14:paraId="3927FAAE">
      <w:pPr>
        <w:numPr>
          <w:ilvl w:val="0"/>
          <w:numId w:val="2"/>
        </w:numPr>
        <w:rPr>
          <w:rFonts w:ascii="微软雅黑" w:hAnsi="微软雅黑" w:eastAsia="微软雅黑" w:cs="微软雅黑"/>
          <w:sz w:val="28"/>
          <w:szCs w:val="28"/>
        </w:rPr>
      </w:pPr>
      <w:r>
        <w:rPr>
          <w:rFonts w:hint="eastAsia" w:ascii="微软雅黑" w:hAnsi="微软雅黑" w:eastAsia="微软雅黑" w:cs="微软雅黑"/>
          <w:sz w:val="28"/>
          <w:szCs w:val="28"/>
        </w:rPr>
        <w:t>一般公共预算财政拨款基本支出决算表</w:t>
      </w:r>
    </w:p>
    <w:p w14:paraId="1874A962">
      <w:pPr>
        <w:numPr>
          <w:ilvl w:val="0"/>
          <w:numId w:val="2"/>
        </w:numPr>
        <w:rPr>
          <w:rFonts w:ascii="微软雅黑" w:hAnsi="微软雅黑" w:eastAsia="微软雅黑" w:cs="微软雅黑"/>
          <w:sz w:val="28"/>
          <w:szCs w:val="28"/>
        </w:rPr>
      </w:pPr>
      <w:r>
        <w:rPr>
          <w:rFonts w:hint="eastAsia" w:ascii="微软雅黑" w:hAnsi="微软雅黑" w:eastAsia="微软雅黑" w:cs="微软雅黑"/>
          <w:sz w:val="28"/>
          <w:szCs w:val="28"/>
        </w:rPr>
        <w:t>政府性基金预算财政拨款收入支出决算表</w:t>
      </w:r>
    </w:p>
    <w:p w14:paraId="6ECBF61A">
      <w:pPr>
        <w:numPr>
          <w:ilvl w:val="0"/>
          <w:numId w:val="2"/>
        </w:numPr>
        <w:rPr>
          <w:rFonts w:ascii="微软雅黑" w:hAnsi="微软雅黑" w:eastAsia="微软雅黑" w:cs="微软雅黑"/>
          <w:sz w:val="28"/>
          <w:szCs w:val="28"/>
        </w:rPr>
      </w:pPr>
      <w:r>
        <w:rPr>
          <w:rFonts w:hint="eastAsia" w:ascii="微软雅黑" w:hAnsi="微软雅黑" w:eastAsia="微软雅黑" w:cs="微软雅黑"/>
          <w:sz w:val="28"/>
          <w:szCs w:val="28"/>
        </w:rPr>
        <w:t>国有资本经营预算财政拨款支出决算表</w:t>
      </w:r>
    </w:p>
    <w:p w14:paraId="34BF5020">
      <w:pPr>
        <w:numPr>
          <w:ilvl w:val="0"/>
          <w:numId w:val="2"/>
        </w:numPr>
        <w:rPr>
          <w:rFonts w:ascii="微软雅黑" w:hAnsi="微软雅黑" w:eastAsia="微软雅黑" w:cs="微软雅黑"/>
          <w:sz w:val="28"/>
          <w:szCs w:val="28"/>
        </w:rPr>
      </w:pPr>
      <w:r>
        <w:rPr>
          <w:rFonts w:hint="eastAsia" w:ascii="微软雅黑" w:hAnsi="微软雅黑" w:eastAsia="微软雅黑" w:cs="微软雅黑"/>
          <w:sz w:val="28"/>
          <w:szCs w:val="28"/>
        </w:rPr>
        <w:t>“三公经费”及相关信息统计表</w:t>
      </w:r>
    </w:p>
    <w:p w14:paraId="3D6809FA">
      <w:pPr>
        <w:numPr>
          <w:ilvl w:val="0"/>
          <w:numId w:val="2"/>
        </w:numPr>
        <w:rPr>
          <w:rFonts w:ascii="微软雅黑" w:hAnsi="微软雅黑" w:eastAsia="微软雅黑" w:cs="微软雅黑"/>
          <w:sz w:val="28"/>
          <w:szCs w:val="28"/>
        </w:rPr>
      </w:pPr>
      <w:r>
        <w:rPr>
          <w:rFonts w:hint="eastAsia" w:ascii="微软雅黑" w:hAnsi="微软雅黑" w:eastAsia="微软雅黑" w:cs="微软雅黑"/>
          <w:sz w:val="28"/>
          <w:szCs w:val="28"/>
        </w:rPr>
        <w:t>政府采购情况表</w:t>
      </w:r>
    </w:p>
    <w:p w14:paraId="14BAC56B">
      <w:pPr>
        <w:rPr>
          <w:rFonts w:ascii="微软雅黑" w:hAnsi="微软雅黑" w:eastAsia="微软雅黑" w:cs="微软雅黑"/>
          <w:b/>
          <w:bCs/>
          <w:sz w:val="30"/>
          <w:szCs w:val="30"/>
        </w:rPr>
      </w:pPr>
      <w:r>
        <w:rPr>
          <w:rFonts w:hint="eastAsia" w:ascii="微软雅黑" w:hAnsi="微软雅黑" w:eastAsia="微软雅黑" w:cs="微软雅黑"/>
          <w:b/>
          <w:bCs/>
          <w:sz w:val="30"/>
          <w:szCs w:val="30"/>
        </w:rPr>
        <w:t>第三部分 2017年管委会部门决算情况说明</w:t>
      </w:r>
    </w:p>
    <w:p w14:paraId="4CF540F5">
      <w:pPr>
        <w:autoSpaceDE w:val="0"/>
        <w:autoSpaceDN w:val="0"/>
        <w:spacing w:line="360" w:lineRule="auto"/>
        <w:jc w:val="left"/>
        <w:rPr>
          <w:rFonts w:ascii="微软雅黑" w:hAnsi="微软雅黑" w:eastAsia="微软雅黑" w:cs="微软雅黑"/>
          <w:color w:val="000000"/>
          <w:sz w:val="32"/>
          <w:szCs w:val="32"/>
        </w:rPr>
      </w:pPr>
      <w:r>
        <w:rPr>
          <w:rFonts w:hint="eastAsia" w:ascii="微软雅黑" w:hAnsi="微软雅黑" w:eastAsia="微软雅黑" w:cs="微软雅黑"/>
          <w:color w:val="000000"/>
          <w:sz w:val="32"/>
          <w:szCs w:val="32"/>
        </w:rPr>
        <w:t>一、2017年度收入支出决算总表情况说明</w:t>
      </w:r>
    </w:p>
    <w:p w14:paraId="51A11522">
      <w:pPr>
        <w:autoSpaceDE w:val="0"/>
        <w:autoSpaceDN w:val="0"/>
        <w:spacing w:line="360" w:lineRule="auto"/>
        <w:jc w:val="left"/>
        <w:rPr>
          <w:rFonts w:ascii="微软雅黑" w:hAnsi="微软雅黑" w:eastAsia="微软雅黑" w:cs="微软雅黑"/>
          <w:color w:val="000000"/>
          <w:sz w:val="32"/>
          <w:szCs w:val="32"/>
        </w:rPr>
      </w:pPr>
      <w:r>
        <w:rPr>
          <w:rFonts w:hint="eastAsia" w:ascii="微软雅黑" w:hAnsi="微软雅黑" w:eastAsia="微软雅黑" w:cs="微软雅黑"/>
          <w:color w:val="000000"/>
          <w:sz w:val="32"/>
          <w:szCs w:val="32"/>
        </w:rPr>
        <w:t>二、2017年度收入决算情况说明</w:t>
      </w:r>
    </w:p>
    <w:p w14:paraId="462AF373">
      <w:pPr>
        <w:autoSpaceDE w:val="0"/>
        <w:autoSpaceDN w:val="0"/>
        <w:spacing w:line="360" w:lineRule="auto"/>
        <w:jc w:val="left"/>
        <w:rPr>
          <w:rFonts w:ascii="微软雅黑" w:hAnsi="微软雅黑" w:eastAsia="微软雅黑" w:cs="微软雅黑"/>
          <w:color w:val="000000"/>
          <w:sz w:val="32"/>
          <w:szCs w:val="32"/>
        </w:rPr>
      </w:pPr>
      <w:r>
        <w:rPr>
          <w:rFonts w:hint="eastAsia" w:ascii="微软雅黑" w:hAnsi="微软雅黑" w:eastAsia="微软雅黑" w:cs="微软雅黑"/>
          <w:color w:val="000000"/>
          <w:sz w:val="32"/>
          <w:szCs w:val="32"/>
        </w:rPr>
        <w:t>三、2017年度支出决算情况说明</w:t>
      </w:r>
    </w:p>
    <w:p w14:paraId="194E90B4">
      <w:pPr>
        <w:autoSpaceDE w:val="0"/>
        <w:autoSpaceDN w:val="0"/>
        <w:spacing w:line="360" w:lineRule="auto"/>
        <w:jc w:val="left"/>
        <w:rPr>
          <w:rFonts w:ascii="微软雅黑" w:hAnsi="微软雅黑" w:eastAsia="微软雅黑" w:cs="微软雅黑"/>
          <w:color w:val="000000"/>
          <w:sz w:val="32"/>
          <w:szCs w:val="32"/>
        </w:rPr>
      </w:pPr>
      <w:r>
        <w:rPr>
          <w:rFonts w:hint="eastAsia" w:ascii="微软雅黑" w:hAnsi="微软雅黑" w:eastAsia="微软雅黑" w:cs="微软雅黑"/>
          <w:color w:val="000000"/>
          <w:sz w:val="32"/>
          <w:szCs w:val="32"/>
        </w:rPr>
        <w:t>四、2017年度财政拨款收入支出决算总表情况说明</w:t>
      </w:r>
    </w:p>
    <w:p w14:paraId="4416646D">
      <w:pPr>
        <w:autoSpaceDE w:val="0"/>
        <w:autoSpaceDN w:val="0"/>
        <w:spacing w:line="360" w:lineRule="auto"/>
        <w:jc w:val="left"/>
        <w:rPr>
          <w:rFonts w:ascii="微软雅黑" w:hAnsi="微软雅黑" w:eastAsia="微软雅黑" w:cs="微软雅黑"/>
          <w:color w:val="000000"/>
          <w:sz w:val="32"/>
          <w:szCs w:val="32"/>
        </w:rPr>
      </w:pPr>
      <w:r>
        <w:rPr>
          <w:rFonts w:hint="eastAsia" w:ascii="微软雅黑" w:hAnsi="微软雅黑" w:eastAsia="微软雅黑" w:cs="微软雅黑"/>
          <w:color w:val="000000"/>
          <w:sz w:val="32"/>
          <w:szCs w:val="32"/>
        </w:rPr>
        <w:t>五、2017年度一般公共预算财政拨款支出决算情况说明</w:t>
      </w:r>
    </w:p>
    <w:p w14:paraId="03C76552">
      <w:pPr>
        <w:autoSpaceDE w:val="0"/>
        <w:autoSpaceDN w:val="0"/>
        <w:spacing w:line="360" w:lineRule="auto"/>
        <w:jc w:val="left"/>
        <w:rPr>
          <w:rFonts w:ascii="微软雅黑" w:hAnsi="微软雅黑" w:eastAsia="微软雅黑" w:cs="微软雅黑"/>
          <w:color w:val="000000"/>
          <w:sz w:val="32"/>
          <w:szCs w:val="32"/>
        </w:rPr>
      </w:pPr>
      <w:r>
        <w:rPr>
          <w:rFonts w:hint="eastAsia" w:ascii="微软雅黑" w:hAnsi="微软雅黑" w:eastAsia="微软雅黑" w:cs="微软雅黑"/>
          <w:color w:val="000000"/>
          <w:sz w:val="32"/>
          <w:szCs w:val="32"/>
        </w:rPr>
        <w:t>六、2017年度“三公”经费支出情况说明</w:t>
      </w:r>
    </w:p>
    <w:p w14:paraId="621B2D84">
      <w:pPr>
        <w:autoSpaceDE w:val="0"/>
        <w:autoSpaceDN w:val="0"/>
        <w:spacing w:line="360" w:lineRule="auto"/>
        <w:jc w:val="left"/>
        <w:rPr>
          <w:rFonts w:ascii="微软雅黑" w:hAnsi="微软雅黑" w:eastAsia="微软雅黑" w:cs="微软雅黑"/>
          <w:color w:val="000000"/>
          <w:sz w:val="32"/>
          <w:szCs w:val="32"/>
        </w:rPr>
      </w:pPr>
      <w:r>
        <w:rPr>
          <w:rFonts w:hint="eastAsia" w:ascii="微软雅黑" w:hAnsi="微软雅黑" w:eastAsia="微软雅黑" w:cs="微软雅黑"/>
          <w:color w:val="000000"/>
          <w:sz w:val="32"/>
          <w:szCs w:val="32"/>
        </w:rPr>
        <w:t>七、2017年度预算绩效管理工作开展情况说明</w:t>
      </w:r>
    </w:p>
    <w:p w14:paraId="14D432FC">
      <w:pPr>
        <w:autoSpaceDE w:val="0"/>
        <w:autoSpaceDN w:val="0"/>
        <w:spacing w:line="360" w:lineRule="auto"/>
        <w:jc w:val="left"/>
        <w:rPr>
          <w:rFonts w:ascii="微软雅黑" w:hAnsi="微软雅黑" w:eastAsia="微软雅黑" w:cs="微软雅黑"/>
          <w:color w:val="000000"/>
          <w:sz w:val="32"/>
          <w:szCs w:val="32"/>
        </w:rPr>
      </w:pPr>
      <w:r>
        <w:rPr>
          <w:rFonts w:hint="eastAsia" w:ascii="微软雅黑" w:hAnsi="微软雅黑" w:eastAsia="微软雅黑" w:cs="微软雅黑"/>
          <w:color w:val="000000"/>
          <w:sz w:val="32"/>
          <w:szCs w:val="32"/>
        </w:rPr>
        <w:t>八、2017年度其他重要事项情况说明</w:t>
      </w:r>
    </w:p>
    <w:p w14:paraId="6356738D">
      <w:pPr>
        <w:rPr>
          <w:rFonts w:ascii="微软雅黑" w:hAnsi="微软雅黑" w:eastAsia="微软雅黑" w:cs="微软雅黑"/>
          <w:b/>
          <w:bCs/>
          <w:sz w:val="30"/>
          <w:szCs w:val="30"/>
        </w:rPr>
      </w:pPr>
      <w:r>
        <w:rPr>
          <w:rFonts w:hint="eastAsia" w:ascii="微软雅黑" w:hAnsi="微软雅黑" w:eastAsia="微软雅黑" w:cs="微软雅黑"/>
          <w:b/>
          <w:bCs/>
          <w:sz w:val="30"/>
          <w:szCs w:val="30"/>
        </w:rPr>
        <w:t>第四部分  名词解释</w:t>
      </w:r>
    </w:p>
    <w:p w14:paraId="69B0DB28">
      <w:pPr>
        <w:rPr>
          <w:rFonts w:ascii="微软雅黑" w:hAnsi="微软雅黑" w:eastAsia="微软雅黑" w:cs="微软雅黑"/>
          <w:sz w:val="28"/>
          <w:szCs w:val="28"/>
        </w:rPr>
      </w:pPr>
      <w:r>
        <w:rPr>
          <w:rFonts w:hint="eastAsia" w:ascii="微软雅黑" w:hAnsi="微软雅黑" w:eastAsia="微软雅黑" w:cs="微软雅黑"/>
          <w:sz w:val="28"/>
          <w:szCs w:val="28"/>
        </w:rPr>
        <w:t xml:space="preserve">                                                                                                                          </w:t>
      </w:r>
    </w:p>
    <w:p w14:paraId="0309F1CD">
      <w:pPr>
        <w:rPr>
          <w:rFonts w:ascii="微软雅黑" w:hAnsi="微软雅黑" w:eastAsia="微软雅黑" w:cs="微软雅黑"/>
          <w:sz w:val="28"/>
          <w:szCs w:val="28"/>
        </w:rPr>
      </w:pPr>
    </w:p>
    <w:p w14:paraId="41DC58F1">
      <w:pPr>
        <w:rPr>
          <w:rFonts w:ascii="微软雅黑" w:hAnsi="微软雅黑" w:eastAsia="微软雅黑" w:cs="微软雅黑"/>
          <w:sz w:val="28"/>
          <w:szCs w:val="28"/>
        </w:rPr>
      </w:pPr>
    </w:p>
    <w:p w14:paraId="378E7AE3">
      <w:pPr>
        <w:rPr>
          <w:rFonts w:ascii="微软雅黑" w:hAnsi="微软雅黑" w:eastAsia="微软雅黑" w:cs="微软雅黑"/>
          <w:sz w:val="28"/>
          <w:szCs w:val="28"/>
        </w:rPr>
      </w:pPr>
    </w:p>
    <w:p w14:paraId="19008BE8">
      <w:pPr>
        <w:jc w:val="center"/>
        <w:rPr>
          <w:rFonts w:ascii="微软雅黑" w:hAnsi="微软雅黑" w:eastAsia="微软雅黑" w:cs="微软雅黑"/>
          <w:b/>
          <w:bCs/>
          <w:sz w:val="36"/>
          <w:szCs w:val="36"/>
        </w:rPr>
      </w:pPr>
      <w:r>
        <w:rPr>
          <w:rFonts w:hint="eastAsia" w:ascii="微软雅黑" w:hAnsi="微软雅黑" w:eastAsia="微软雅黑" w:cs="微软雅黑"/>
          <w:b/>
          <w:bCs/>
          <w:sz w:val="36"/>
          <w:szCs w:val="36"/>
        </w:rPr>
        <w:t>第一部分    开发区管委会概况</w:t>
      </w:r>
    </w:p>
    <w:p w14:paraId="64B126B6">
      <w:pPr>
        <w:numPr>
          <w:ilvl w:val="0"/>
          <w:numId w:val="3"/>
        </w:numPr>
        <w:rPr>
          <w:rFonts w:ascii="微软雅黑" w:hAnsi="微软雅黑" w:eastAsia="微软雅黑" w:cs="微软雅黑"/>
          <w:b/>
          <w:bCs/>
          <w:sz w:val="30"/>
          <w:szCs w:val="30"/>
        </w:rPr>
      </w:pPr>
      <w:r>
        <w:rPr>
          <w:rFonts w:hint="eastAsia" w:ascii="微软雅黑" w:hAnsi="微软雅黑" w:eastAsia="微软雅黑" w:cs="微软雅黑"/>
          <w:b/>
          <w:bCs/>
          <w:sz w:val="30"/>
          <w:szCs w:val="30"/>
        </w:rPr>
        <w:t>主要职能</w:t>
      </w:r>
    </w:p>
    <w:p w14:paraId="6EDFB27D">
      <w:pPr>
        <w:rPr>
          <w:rFonts w:ascii="微软雅黑" w:hAnsi="微软雅黑" w:eastAsia="微软雅黑" w:cs="微软雅黑"/>
          <w:color w:val="494949"/>
          <w:sz w:val="28"/>
          <w:szCs w:val="28"/>
        </w:rPr>
      </w:pPr>
      <w:r>
        <w:rPr>
          <w:rFonts w:hint="eastAsia" w:ascii="微软雅黑" w:hAnsi="微软雅黑" w:eastAsia="微软雅黑" w:cs="微软雅黑"/>
          <w:color w:val="494949"/>
          <w:sz w:val="28"/>
          <w:szCs w:val="28"/>
        </w:rPr>
        <w:t xml:space="preserve">     2017年我区各部门汇总以“沧州经济开发区管理委员会”为一个预算单位上报部门决算。</w:t>
      </w:r>
    </w:p>
    <w:p w14:paraId="72E01FD1">
      <w:pPr>
        <w:rPr>
          <w:rFonts w:ascii="微软雅黑" w:hAnsi="微软雅黑" w:eastAsia="微软雅黑" w:cs="微软雅黑"/>
          <w:sz w:val="28"/>
          <w:szCs w:val="28"/>
        </w:rPr>
      </w:pPr>
      <w:r>
        <w:rPr>
          <w:rFonts w:hint="eastAsia" w:ascii="微软雅黑" w:hAnsi="微软雅黑" w:eastAsia="微软雅黑" w:cs="微软雅黑"/>
          <w:color w:val="494949"/>
          <w:sz w:val="28"/>
          <w:szCs w:val="28"/>
        </w:rPr>
        <w:t xml:space="preserve">    其主要职责是：编制辖区的总体规划和经济、社会发展规划，经批准后组织实施；编制辖区区域性城市发展规划、国土利用规划，经批准后组织实施；审批或审核辖区固定资产投资项目；负责辖区内财政预算决算，国有资产管理和财政监督工作；负责招商引资，进出口贸易和国内外经济技术合作工作；负责辖区环境保护和安全生产监督管理工作；负责辖区教育，文化， 人口和计划生育等社会事务管理工作，维护社会维定；负责辖区内上级有关部门派驻机构的工作；完成市政府交办的其他事项。</w:t>
      </w:r>
    </w:p>
    <w:p w14:paraId="381F816B">
      <w:pPr>
        <w:numPr>
          <w:ilvl w:val="0"/>
          <w:numId w:val="3"/>
        </w:numPr>
        <w:rPr>
          <w:rFonts w:ascii="微软雅黑" w:hAnsi="微软雅黑" w:eastAsia="微软雅黑" w:cs="微软雅黑"/>
          <w:b/>
          <w:bCs/>
          <w:sz w:val="30"/>
          <w:szCs w:val="30"/>
        </w:rPr>
      </w:pPr>
      <w:r>
        <w:rPr>
          <w:rFonts w:hint="eastAsia" w:ascii="微软雅黑" w:hAnsi="微软雅黑" w:eastAsia="微软雅黑" w:cs="微软雅黑"/>
          <w:b/>
          <w:bCs/>
          <w:sz w:val="30"/>
          <w:szCs w:val="30"/>
        </w:rPr>
        <w:t>机构设置</w:t>
      </w:r>
    </w:p>
    <w:p w14:paraId="126BDAC9">
      <w:pPr>
        <w:autoSpaceDE w:val="0"/>
        <w:autoSpaceDN w:val="0"/>
        <w:ind w:firstLine="640" w:firstLineChars="200"/>
        <w:jc w:val="left"/>
        <w:rPr>
          <w:rFonts w:ascii="微软雅黑" w:hAnsi="微软雅黑" w:eastAsia="微软雅黑" w:cs="微软雅黑"/>
          <w:color w:val="000000"/>
          <w:sz w:val="32"/>
          <w:szCs w:val="32"/>
        </w:rPr>
      </w:pPr>
      <w:r>
        <w:rPr>
          <w:rFonts w:hint="eastAsia" w:ascii="微软雅黑" w:hAnsi="微软雅黑" w:eastAsia="微软雅黑" w:cs="微软雅黑"/>
          <w:color w:val="000000"/>
          <w:sz w:val="32"/>
          <w:szCs w:val="32"/>
        </w:rPr>
        <w:t>根据部门决算编报要求，纳入我部门 2017年度部门决算编报范围的单位共 23个，详细情况见下表：</w:t>
      </w:r>
    </w:p>
    <w:tbl>
      <w:tblPr>
        <w:tblStyle w:val="4"/>
        <w:tblW w:w="98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749"/>
        <w:gridCol w:w="1127"/>
        <w:gridCol w:w="1214"/>
        <w:gridCol w:w="2753"/>
      </w:tblGrid>
      <w:tr w14:paraId="5E9A5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tblHeader/>
          <w:jc w:val="center"/>
        </w:trPr>
        <w:tc>
          <w:tcPr>
            <w:tcW w:w="4749" w:type="dxa"/>
            <w:vMerge w:val="restart"/>
            <w:vAlign w:val="center"/>
          </w:tcPr>
          <w:p w14:paraId="3F4CD0B0">
            <w:pPr>
              <w:spacing w:line="300" w:lineRule="exact"/>
              <w:jc w:val="center"/>
              <w:rPr>
                <w:rFonts w:ascii="微软雅黑" w:hAnsi="微软雅黑" w:eastAsia="微软雅黑" w:cs="微软雅黑"/>
                <w:b/>
                <w:bCs/>
                <w:sz w:val="30"/>
              </w:rPr>
            </w:pPr>
            <w:r>
              <w:rPr>
                <w:rFonts w:hint="eastAsia" w:ascii="微软雅黑" w:hAnsi="微软雅黑" w:eastAsia="微软雅黑" w:cs="微软雅黑"/>
                <w:b/>
                <w:bCs/>
                <w:sz w:val="30"/>
              </w:rPr>
              <w:t>单位名称</w:t>
            </w:r>
          </w:p>
        </w:tc>
        <w:tc>
          <w:tcPr>
            <w:tcW w:w="1127" w:type="dxa"/>
            <w:vMerge w:val="restart"/>
            <w:vAlign w:val="center"/>
          </w:tcPr>
          <w:p w14:paraId="267C43E9">
            <w:pPr>
              <w:spacing w:line="300" w:lineRule="exact"/>
              <w:jc w:val="center"/>
              <w:rPr>
                <w:rFonts w:ascii="微软雅黑" w:hAnsi="微软雅黑" w:eastAsia="微软雅黑" w:cs="微软雅黑"/>
                <w:b/>
                <w:bCs/>
                <w:sz w:val="30"/>
              </w:rPr>
            </w:pPr>
            <w:r>
              <w:rPr>
                <w:rFonts w:hint="eastAsia" w:ascii="微软雅黑" w:hAnsi="微软雅黑" w:eastAsia="微软雅黑" w:cs="微软雅黑"/>
                <w:b/>
                <w:bCs/>
                <w:sz w:val="30"/>
              </w:rPr>
              <w:t>单位性质</w:t>
            </w:r>
          </w:p>
        </w:tc>
        <w:tc>
          <w:tcPr>
            <w:tcW w:w="1214" w:type="dxa"/>
            <w:vMerge w:val="restart"/>
            <w:vAlign w:val="center"/>
          </w:tcPr>
          <w:p w14:paraId="49D4E13F">
            <w:pPr>
              <w:spacing w:line="300" w:lineRule="exact"/>
              <w:jc w:val="center"/>
              <w:rPr>
                <w:rFonts w:ascii="微软雅黑" w:hAnsi="微软雅黑" w:eastAsia="微软雅黑" w:cs="微软雅黑"/>
                <w:b/>
                <w:bCs/>
                <w:sz w:val="30"/>
              </w:rPr>
            </w:pPr>
            <w:r>
              <w:rPr>
                <w:rFonts w:hint="eastAsia" w:ascii="微软雅黑" w:hAnsi="微软雅黑" w:eastAsia="微软雅黑" w:cs="微软雅黑"/>
                <w:b/>
                <w:bCs/>
                <w:sz w:val="30"/>
              </w:rPr>
              <w:t>单位规格</w:t>
            </w:r>
          </w:p>
        </w:tc>
        <w:tc>
          <w:tcPr>
            <w:tcW w:w="2753" w:type="dxa"/>
            <w:vMerge w:val="restart"/>
            <w:vAlign w:val="center"/>
          </w:tcPr>
          <w:p w14:paraId="4646FE75">
            <w:pPr>
              <w:spacing w:line="300" w:lineRule="exact"/>
              <w:jc w:val="center"/>
              <w:rPr>
                <w:rFonts w:ascii="微软雅黑" w:hAnsi="微软雅黑" w:eastAsia="微软雅黑" w:cs="微软雅黑"/>
                <w:b/>
                <w:bCs/>
                <w:sz w:val="30"/>
              </w:rPr>
            </w:pPr>
            <w:r>
              <w:rPr>
                <w:rFonts w:hint="eastAsia" w:ascii="微软雅黑" w:hAnsi="微软雅黑" w:eastAsia="微软雅黑" w:cs="微软雅黑"/>
                <w:b/>
                <w:bCs/>
                <w:sz w:val="30"/>
              </w:rPr>
              <w:t>经费保障形式</w:t>
            </w:r>
          </w:p>
        </w:tc>
      </w:tr>
      <w:tr w14:paraId="50421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tblHeader/>
          <w:jc w:val="center"/>
        </w:trPr>
        <w:tc>
          <w:tcPr>
            <w:tcW w:w="4749" w:type="dxa"/>
            <w:vMerge w:val="continue"/>
            <w:vAlign w:val="center"/>
          </w:tcPr>
          <w:p w14:paraId="7A0E0765">
            <w:pPr>
              <w:spacing w:line="300" w:lineRule="exact"/>
              <w:jc w:val="left"/>
              <w:outlineLvl w:val="0"/>
              <w:rPr>
                <w:rFonts w:ascii="微软雅黑" w:hAnsi="微软雅黑" w:eastAsia="微软雅黑" w:cs="微软雅黑"/>
                <w:sz w:val="30"/>
              </w:rPr>
            </w:pPr>
          </w:p>
        </w:tc>
        <w:tc>
          <w:tcPr>
            <w:tcW w:w="1127" w:type="dxa"/>
            <w:vMerge w:val="continue"/>
            <w:vAlign w:val="center"/>
          </w:tcPr>
          <w:p w14:paraId="53845493">
            <w:pPr>
              <w:spacing w:line="300" w:lineRule="exact"/>
              <w:jc w:val="left"/>
              <w:outlineLvl w:val="0"/>
              <w:rPr>
                <w:rFonts w:ascii="微软雅黑" w:hAnsi="微软雅黑" w:eastAsia="微软雅黑" w:cs="微软雅黑"/>
                <w:sz w:val="30"/>
              </w:rPr>
            </w:pPr>
          </w:p>
        </w:tc>
        <w:tc>
          <w:tcPr>
            <w:tcW w:w="1214" w:type="dxa"/>
            <w:vMerge w:val="continue"/>
            <w:vAlign w:val="center"/>
          </w:tcPr>
          <w:p w14:paraId="6F5323CF">
            <w:pPr>
              <w:spacing w:line="300" w:lineRule="exact"/>
              <w:jc w:val="left"/>
              <w:outlineLvl w:val="0"/>
              <w:rPr>
                <w:rFonts w:ascii="微软雅黑" w:hAnsi="微软雅黑" w:eastAsia="微软雅黑" w:cs="微软雅黑"/>
                <w:sz w:val="30"/>
              </w:rPr>
            </w:pPr>
          </w:p>
        </w:tc>
        <w:tc>
          <w:tcPr>
            <w:tcW w:w="2753" w:type="dxa"/>
            <w:vMerge w:val="continue"/>
            <w:vAlign w:val="center"/>
          </w:tcPr>
          <w:p w14:paraId="36CC1B06">
            <w:pPr>
              <w:spacing w:line="300" w:lineRule="exact"/>
              <w:jc w:val="left"/>
              <w:outlineLvl w:val="0"/>
              <w:rPr>
                <w:rFonts w:ascii="微软雅黑" w:hAnsi="微软雅黑" w:eastAsia="微软雅黑" w:cs="微软雅黑"/>
                <w:sz w:val="30"/>
              </w:rPr>
            </w:pPr>
          </w:p>
        </w:tc>
      </w:tr>
      <w:tr w14:paraId="3D229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1" w:hRule="exact"/>
          <w:jc w:val="center"/>
        </w:trPr>
        <w:tc>
          <w:tcPr>
            <w:tcW w:w="4749" w:type="dxa"/>
            <w:vAlign w:val="center"/>
          </w:tcPr>
          <w:p w14:paraId="3E3B168B">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沧州经济开发区管理委员会</w:t>
            </w:r>
          </w:p>
        </w:tc>
        <w:tc>
          <w:tcPr>
            <w:tcW w:w="1127" w:type="dxa"/>
            <w:vAlign w:val="center"/>
          </w:tcPr>
          <w:p w14:paraId="07247E51">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行政</w:t>
            </w:r>
          </w:p>
        </w:tc>
        <w:tc>
          <w:tcPr>
            <w:tcW w:w="1214" w:type="dxa"/>
            <w:vAlign w:val="center"/>
          </w:tcPr>
          <w:p w14:paraId="52BCBB77">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正处级</w:t>
            </w:r>
          </w:p>
        </w:tc>
        <w:tc>
          <w:tcPr>
            <w:tcW w:w="2753" w:type="dxa"/>
            <w:vAlign w:val="center"/>
          </w:tcPr>
          <w:p w14:paraId="4C6F4486">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财政性资金基本保证</w:t>
            </w:r>
          </w:p>
        </w:tc>
      </w:tr>
      <w:tr w14:paraId="4D65D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1" w:hRule="exact"/>
          <w:jc w:val="center"/>
        </w:trPr>
        <w:tc>
          <w:tcPr>
            <w:tcW w:w="4749" w:type="dxa"/>
            <w:vAlign w:val="center"/>
          </w:tcPr>
          <w:p w14:paraId="2427DC8F">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开发区党政办公室</w:t>
            </w:r>
          </w:p>
        </w:tc>
        <w:tc>
          <w:tcPr>
            <w:tcW w:w="1127" w:type="dxa"/>
            <w:vAlign w:val="center"/>
          </w:tcPr>
          <w:p w14:paraId="677A053C">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行政</w:t>
            </w:r>
          </w:p>
        </w:tc>
        <w:tc>
          <w:tcPr>
            <w:tcW w:w="1214" w:type="dxa"/>
            <w:vAlign w:val="center"/>
          </w:tcPr>
          <w:p w14:paraId="70526353">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正科级</w:t>
            </w:r>
          </w:p>
        </w:tc>
        <w:tc>
          <w:tcPr>
            <w:tcW w:w="2753" w:type="dxa"/>
            <w:vAlign w:val="center"/>
          </w:tcPr>
          <w:p w14:paraId="3542FBD1">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财政性资金基本保证</w:t>
            </w:r>
          </w:p>
        </w:tc>
      </w:tr>
      <w:tr w14:paraId="45200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1" w:hRule="exact"/>
          <w:jc w:val="center"/>
        </w:trPr>
        <w:tc>
          <w:tcPr>
            <w:tcW w:w="4749" w:type="dxa"/>
            <w:vAlign w:val="center"/>
          </w:tcPr>
          <w:p w14:paraId="3C55545E">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开发区政策法规研究办公室</w:t>
            </w:r>
          </w:p>
        </w:tc>
        <w:tc>
          <w:tcPr>
            <w:tcW w:w="1127" w:type="dxa"/>
            <w:vAlign w:val="center"/>
          </w:tcPr>
          <w:p w14:paraId="684766FB">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行政</w:t>
            </w:r>
          </w:p>
        </w:tc>
        <w:tc>
          <w:tcPr>
            <w:tcW w:w="1214" w:type="dxa"/>
            <w:vAlign w:val="center"/>
          </w:tcPr>
          <w:p w14:paraId="500FD797">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正科级</w:t>
            </w:r>
          </w:p>
        </w:tc>
        <w:tc>
          <w:tcPr>
            <w:tcW w:w="2753" w:type="dxa"/>
            <w:vAlign w:val="center"/>
          </w:tcPr>
          <w:p w14:paraId="015888F5">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财政性资金基本保证</w:t>
            </w:r>
          </w:p>
        </w:tc>
      </w:tr>
      <w:tr w14:paraId="46886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1" w:hRule="exact"/>
          <w:jc w:val="center"/>
        </w:trPr>
        <w:tc>
          <w:tcPr>
            <w:tcW w:w="4749" w:type="dxa"/>
            <w:vAlign w:val="center"/>
          </w:tcPr>
          <w:p w14:paraId="5701A8DD">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开发区劳人局</w:t>
            </w:r>
          </w:p>
        </w:tc>
        <w:tc>
          <w:tcPr>
            <w:tcW w:w="1127" w:type="dxa"/>
            <w:vAlign w:val="center"/>
          </w:tcPr>
          <w:p w14:paraId="7918071F">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行政</w:t>
            </w:r>
          </w:p>
        </w:tc>
        <w:tc>
          <w:tcPr>
            <w:tcW w:w="1214" w:type="dxa"/>
            <w:vAlign w:val="center"/>
          </w:tcPr>
          <w:p w14:paraId="7FCD19EA">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正科级</w:t>
            </w:r>
          </w:p>
        </w:tc>
        <w:tc>
          <w:tcPr>
            <w:tcW w:w="2753" w:type="dxa"/>
            <w:vAlign w:val="center"/>
          </w:tcPr>
          <w:p w14:paraId="140D31CF">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财政性资金基本保证</w:t>
            </w:r>
          </w:p>
        </w:tc>
      </w:tr>
      <w:tr w14:paraId="2BE06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1" w:hRule="exact"/>
          <w:jc w:val="center"/>
        </w:trPr>
        <w:tc>
          <w:tcPr>
            <w:tcW w:w="4749" w:type="dxa"/>
            <w:vAlign w:val="center"/>
          </w:tcPr>
          <w:p w14:paraId="3E7934A8">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开发区科技局</w:t>
            </w:r>
          </w:p>
        </w:tc>
        <w:tc>
          <w:tcPr>
            <w:tcW w:w="1127" w:type="dxa"/>
            <w:vAlign w:val="center"/>
          </w:tcPr>
          <w:p w14:paraId="21944C25">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行政</w:t>
            </w:r>
          </w:p>
        </w:tc>
        <w:tc>
          <w:tcPr>
            <w:tcW w:w="1214" w:type="dxa"/>
            <w:vAlign w:val="center"/>
          </w:tcPr>
          <w:p w14:paraId="4522A470">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正科级</w:t>
            </w:r>
          </w:p>
        </w:tc>
        <w:tc>
          <w:tcPr>
            <w:tcW w:w="2753" w:type="dxa"/>
            <w:vAlign w:val="center"/>
          </w:tcPr>
          <w:p w14:paraId="35F9434E">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财政性资金基本保证</w:t>
            </w:r>
          </w:p>
        </w:tc>
      </w:tr>
      <w:tr w14:paraId="3AE80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1" w:hRule="exact"/>
          <w:jc w:val="center"/>
        </w:trPr>
        <w:tc>
          <w:tcPr>
            <w:tcW w:w="4749" w:type="dxa"/>
            <w:vAlign w:val="center"/>
          </w:tcPr>
          <w:p w14:paraId="1567C738">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开发区财政局</w:t>
            </w:r>
          </w:p>
        </w:tc>
        <w:tc>
          <w:tcPr>
            <w:tcW w:w="1127" w:type="dxa"/>
            <w:vAlign w:val="center"/>
          </w:tcPr>
          <w:p w14:paraId="16B128BD">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行政</w:t>
            </w:r>
          </w:p>
        </w:tc>
        <w:tc>
          <w:tcPr>
            <w:tcW w:w="1214" w:type="dxa"/>
            <w:vAlign w:val="center"/>
          </w:tcPr>
          <w:p w14:paraId="5A603DDA">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正科级</w:t>
            </w:r>
          </w:p>
        </w:tc>
        <w:tc>
          <w:tcPr>
            <w:tcW w:w="2753" w:type="dxa"/>
            <w:vAlign w:val="center"/>
          </w:tcPr>
          <w:p w14:paraId="4B396355">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财政性资金基本保证</w:t>
            </w:r>
          </w:p>
        </w:tc>
      </w:tr>
      <w:tr w14:paraId="6F020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6" w:hRule="exact"/>
          <w:jc w:val="center"/>
        </w:trPr>
        <w:tc>
          <w:tcPr>
            <w:tcW w:w="4749" w:type="dxa"/>
            <w:vAlign w:val="center"/>
          </w:tcPr>
          <w:p w14:paraId="7AEFB031">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开发区监察局</w:t>
            </w:r>
          </w:p>
        </w:tc>
        <w:tc>
          <w:tcPr>
            <w:tcW w:w="1127" w:type="dxa"/>
            <w:vAlign w:val="center"/>
          </w:tcPr>
          <w:p w14:paraId="66136AA0">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行政</w:t>
            </w:r>
          </w:p>
        </w:tc>
        <w:tc>
          <w:tcPr>
            <w:tcW w:w="1214" w:type="dxa"/>
            <w:vAlign w:val="center"/>
          </w:tcPr>
          <w:p w14:paraId="4D8D71E0">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正科级</w:t>
            </w:r>
          </w:p>
        </w:tc>
        <w:tc>
          <w:tcPr>
            <w:tcW w:w="2753" w:type="dxa"/>
            <w:vAlign w:val="center"/>
          </w:tcPr>
          <w:p w14:paraId="7CC0E110">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财政性资金基本保证</w:t>
            </w:r>
          </w:p>
        </w:tc>
      </w:tr>
      <w:tr w14:paraId="05FB8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1" w:hRule="exact"/>
          <w:jc w:val="center"/>
        </w:trPr>
        <w:tc>
          <w:tcPr>
            <w:tcW w:w="4749" w:type="dxa"/>
            <w:vAlign w:val="center"/>
          </w:tcPr>
          <w:p w14:paraId="35F1D973">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开发区经济发展局</w:t>
            </w:r>
          </w:p>
        </w:tc>
        <w:tc>
          <w:tcPr>
            <w:tcW w:w="1127" w:type="dxa"/>
            <w:vAlign w:val="center"/>
          </w:tcPr>
          <w:p w14:paraId="108576E0">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行政</w:t>
            </w:r>
          </w:p>
        </w:tc>
        <w:tc>
          <w:tcPr>
            <w:tcW w:w="1214" w:type="dxa"/>
            <w:vAlign w:val="center"/>
          </w:tcPr>
          <w:p w14:paraId="0462A3A4">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正科级</w:t>
            </w:r>
          </w:p>
        </w:tc>
        <w:tc>
          <w:tcPr>
            <w:tcW w:w="2753" w:type="dxa"/>
            <w:vAlign w:val="center"/>
          </w:tcPr>
          <w:p w14:paraId="7EB13B10">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财政性资金基本保证</w:t>
            </w:r>
          </w:p>
        </w:tc>
      </w:tr>
      <w:tr w14:paraId="5E571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1" w:hRule="exact"/>
          <w:jc w:val="center"/>
        </w:trPr>
        <w:tc>
          <w:tcPr>
            <w:tcW w:w="4749" w:type="dxa"/>
            <w:vAlign w:val="center"/>
          </w:tcPr>
          <w:p w14:paraId="01664447">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开发区环保局</w:t>
            </w:r>
          </w:p>
        </w:tc>
        <w:tc>
          <w:tcPr>
            <w:tcW w:w="1127" w:type="dxa"/>
            <w:vAlign w:val="center"/>
          </w:tcPr>
          <w:p w14:paraId="6F95B021">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行政</w:t>
            </w:r>
          </w:p>
        </w:tc>
        <w:tc>
          <w:tcPr>
            <w:tcW w:w="1214" w:type="dxa"/>
            <w:vAlign w:val="center"/>
          </w:tcPr>
          <w:p w14:paraId="0E1C46F8">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正科级</w:t>
            </w:r>
          </w:p>
        </w:tc>
        <w:tc>
          <w:tcPr>
            <w:tcW w:w="2753" w:type="dxa"/>
            <w:vAlign w:val="center"/>
          </w:tcPr>
          <w:p w14:paraId="6F72E3AE">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财政性资金基本保证</w:t>
            </w:r>
          </w:p>
        </w:tc>
      </w:tr>
      <w:tr w14:paraId="17394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1" w:hRule="exact"/>
          <w:jc w:val="center"/>
        </w:trPr>
        <w:tc>
          <w:tcPr>
            <w:tcW w:w="4749" w:type="dxa"/>
            <w:vAlign w:val="center"/>
          </w:tcPr>
          <w:p w14:paraId="53E13E43">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开发区总工会</w:t>
            </w:r>
          </w:p>
        </w:tc>
        <w:tc>
          <w:tcPr>
            <w:tcW w:w="1127" w:type="dxa"/>
            <w:vAlign w:val="center"/>
          </w:tcPr>
          <w:p w14:paraId="69C83A23">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行政</w:t>
            </w:r>
          </w:p>
        </w:tc>
        <w:tc>
          <w:tcPr>
            <w:tcW w:w="1214" w:type="dxa"/>
            <w:vAlign w:val="center"/>
          </w:tcPr>
          <w:p w14:paraId="2BBF45FA">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正科级</w:t>
            </w:r>
          </w:p>
        </w:tc>
        <w:tc>
          <w:tcPr>
            <w:tcW w:w="2753" w:type="dxa"/>
            <w:vAlign w:val="center"/>
          </w:tcPr>
          <w:p w14:paraId="557D68AB">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财政性资金基本保证</w:t>
            </w:r>
          </w:p>
        </w:tc>
      </w:tr>
      <w:tr w14:paraId="06C09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1" w:hRule="exact"/>
          <w:jc w:val="center"/>
        </w:trPr>
        <w:tc>
          <w:tcPr>
            <w:tcW w:w="4749" w:type="dxa"/>
            <w:vAlign w:val="center"/>
          </w:tcPr>
          <w:p w14:paraId="30411887">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开发区安监局</w:t>
            </w:r>
          </w:p>
        </w:tc>
        <w:tc>
          <w:tcPr>
            <w:tcW w:w="1127" w:type="dxa"/>
            <w:vAlign w:val="center"/>
          </w:tcPr>
          <w:p w14:paraId="59BFAA18">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行政</w:t>
            </w:r>
          </w:p>
        </w:tc>
        <w:tc>
          <w:tcPr>
            <w:tcW w:w="1214" w:type="dxa"/>
            <w:vAlign w:val="center"/>
          </w:tcPr>
          <w:p w14:paraId="79794D85">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正科级</w:t>
            </w:r>
          </w:p>
        </w:tc>
        <w:tc>
          <w:tcPr>
            <w:tcW w:w="2753" w:type="dxa"/>
            <w:vAlign w:val="center"/>
          </w:tcPr>
          <w:p w14:paraId="54E5A57F">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财政性资金基本保证</w:t>
            </w:r>
          </w:p>
        </w:tc>
      </w:tr>
      <w:tr w14:paraId="18F78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1" w:hRule="exact"/>
          <w:jc w:val="center"/>
        </w:trPr>
        <w:tc>
          <w:tcPr>
            <w:tcW w:w="4749" w:type="dxa"/>
            <w:vAlign w:val="center"/>
          </w:tcPr>
          <w:p w14:paraId="47224A65">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开发区企业党委</w:t>
            </w:r>
          </w:p>
        </w:tc>
        <w:tc>
          <w:tcPr>
            <w:tcW w:w="1127" w:type="dxa"/>
            <w:vAlign w:val="center"/>
          </w:tcPr>
          <w:p w14:paraId="499AA5CC">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行政</w:t>
            </w:r>
          </w:p>
        </w:tc>
        <w:tc>
          <w:tcPr>
            <w:tcW w:w="1214" w:type="dxa"/>
            <w:vAlign w:val="center"/>
          </w:tcPr>
          <w:p w14:paraId="2634A666">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正科级</w:t>
            </w:r>
          </w:p>
        </w:tc>
        <w:tc>
          <w:tcPr>
            <w:tcW w:w="2753" w:type="dxa"/>
            <w:vAlign w:val="center"/>
          </w:tcPr>
          <w:p w14:paraId="0FE72EDD">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财政性资金基本保证</w:t>
            </w:r>
          </w:p>
        </w:tc>
      </w:tr>
      <w:tr w14:paraId="5D9DC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1" w:hRule="exact"/>
          <w:jc w:val="center"/>
        </w:trPr>
        <w:tc>
          <w:tcPr>
            <w:tcW w:w="4749" w:type="dxa"/>
            <w:vAlign w:val="center"/>
          </w:tcPr>
          <w:p w14:paraId="0F1A0687">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开发区卫计局</w:t>
            </w:r>
          </w:p>
        </w:tc>
        <w:tc>
          <w:tcPr>
            <w:tcW w:w="1127" w:type="dxa"/>
            <w:vAlign w:val="center"/>
          </w:tcPr>
          <w:p w14:paraId="744E185A">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行政</w:t>
            </w:r>
          </w:p>
        </w:tc>
        <w:tc>
          <w:tcPr>
            <w:tcW w:w="1214" w:type="dxa"/>
            <w:vAlign w:val="center"/>
          </w:tcPr>
          <w:p w14:paraId="225928A1">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正科级</w:t>
            </w:r>
          </w:p>
        </w:tc>
        <w:tc>
          <w:tcPr>
            <w:tcW w:w="2753" w:type="dxa"/>
            <w:vAlign w:val="center"/>
          </w:tcPr>
          <w:p w14:paraId="74B526C6">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财政性资金基本保证</w:t>
            </w:r>
          </w:p>
        </w:tc>
      </w:tr>
      <w:tr w14:paraId="72318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1" w:hRule="exact"/>
          <w:jc w:val="center"/>
        </w:trPr>
        <w:tc>
          <w:tcPr>
            <w:tcW w:w="4749" w:type="dxa"/>
            <w:vAlign w:val="center"/>
          </w:tcPr>
          <w:p w14:paraId="7213E645">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开发区招商一局</w:t>
            </w:r>
          </w:p>
        </w:tc>
        <w:tc>
          <w:tcPr>
            <w:tcW w:w="1127" w:type="dxa"/>
            <w:vAlign w:val="center"/>
          </w:tcPr>
          <w:p w14:paraId="72BD3B17">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行政</w:t>
            </w:r>
          </w:p>
        </w:tc>
        <w:tc>
          <w:tcPr>
            <w:tcW w:w="1214" w:type="dxa"/>
            <w:vAlign w:val="center"/>
          </w:tcPr>
          <w:p w14:paraId="1624969D">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正科级</w:t>
            </w:r>
          </w:p>
        </w:tc>
        <w:tc>
          <w:tcPr>
            <w:tcW w:w="2753" w:type="dxa"/>
            <w:vAlign w:val="center"/>
          </w:tcPr>
          <w:p w14:paraId="46037947">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财政性资金基本保证</w:t>
            </w:r>
          </w:p>
        </w:tc>
      </w:tr>
      <w:tr w14:paraId="3F1B5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1" w:hRule="exact"/>
          <w:jc w:val="center"/>
        </w:trPr>
        <w:tc>
          <w:tcPr>
            <w:tcW w:w="4749" w:type="dxa"/>
            <w:vAlign w:val="center"/>
          </w:tcPr>
          <w:p w14:paraId="1DCC8FEF">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开发区招商二局</w:t>
            </w:r>
          </w:p>
        </w:tc>
        <w:tc>
          <w:tcPr>
            <w:tcW w:w="1127" w:type="dxa"/>
            <w:vAlign w:val="center"/>
          </w:tcPr>
          <w:p w14:paraId="2E0F37F6">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行政</w:t>
            </w:r>
          </w:p>
        </w:tc>
        <w:tc>
          <w:tcPr>
            <w:tcW w:w="1214" w:type="dxa"/>
            <w:vAlign w:val="center"/>
          </w:tcPr>
          <w:p w14:paraId="14AC1587">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正科级</w:t>
            </w:r>
          </w:p>
        </w:tc>
        <w:tc>
          <w:tcPr>
            <w:tcW w:w="2753" w:type="dxa"/>
            <w:vAlign w:val="center"/>
          </w:tcPr>
          <w:p w14:paraId="5D390F31">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财政性资金基本保证</w:t>
            </w:r>
          </w:p>
        </w:tc>
      </w:tr>
      <w:tr w14:paraId="74EAB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1" w:hRule="exact"/>
          <w:jc w:val="center"/>
        </w:trPr>
        <w:tc>
          <w:tcPr>
            <w:tcW w:w="4749" w:type="dxa"/>
            <w:vAlign w:val="center"/>
          </w:tcPr>
          <w:p w14:paraId="5A98D4A8">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开发区招商三局</w:t>
            </w:r>
          </w:p>
        </w:tc>
        <w:tc>
          <w:tcPr>
            <w:tcW w:w="1127" w:type="dxa"/>
            <w:vAlign w:val="center"/>
          </w:tcPr>
          <w:p w14:paraId="42938A9C">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行政</w:t>
            </w:r>
          </w:p>
        </w:tc>
        <w:tc>
          <w:tcPr>
            <w:tcW w:w="1214" w:type="dxa"/>
            <w:vAlign w:val="center"/>
          </w:tcPr>
          <w:p w14:paraId="2D1FF103">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正科级</w:t>
            </w:r>
          </w:p>
        </w:tc>
        <w:tc>
          <w:tcPr>
            <w:tcW w:w="2753" w:type="dxa"/>
            <w:vAlign w:val="center"/>
          </w:tcPr>
          <w:p w14:paraId="66C3CD53">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财政性资金基本保证</w:t>
            </w:r>
          </w:p>
        </w:tc>
      </w:tr>
      <w:tr w14:paraId="62F69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1" w:hRule="exact"/>
          <w:jc w:val="center"/>
        </w:trPr>
        <w:tc>
          <w:tcPr>
            <w:tcW w:w="4749" w:type="dxa"/>
            <w:vAlign w:val="center"/>
          </w:tcPr>
          <w:p w14:paraId="729B3661">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开发区招商综合部</w:t>
            </w:r>
          </w:p>
        </w:tc>
        <w:tc>
          <w:tcPr>
            <w:tcW w:w="1127" w:type="dxa"/>
            <w:vAlign w:val="center"/>
          </w:tcPr>
          <w:p w14:paraId="06B6553A">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行政</w:t>
            </w:r>
          </w:p>
        </w:tc>
        <w:tc>
          <w:tcPr>
            <w:tcW w:w="1214" w:type="dxa"/>
            <w:vAlign w:val="center"/>
          </w:tcPr>
          <w:p w14:paraId="19B1B7D1">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正科级</w:t>
            </w:r>
          </w:p>
        </w:tc>
        <w:tc>
          <w:tcPr>
            <w:tcW w:w="2753" w:type="dxa"/>
            <w:vAlign w:val="center"/>
          </w:tcPr>
          <w:p w14:paraId="23C2B68E">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财政性资金基本保证</w:t>
            </w:r>
          </w:p>
        </w:tc>
      </w:tr>
      <w:tr w14:paraId="7237C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1" w:hRule="exact"/>
          <w:jc w:val="center"/>
        </w:trPr>
        <w:tc>
          <w:tcPr>
            <w:tcW w:w="4749" w:type="dxa"/>
            <w:vAlign w:val="center"/>
          </w:tcPr>
          <w:p w14:paraId="201A7435">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开发区规划建设局</w:t>
            </w:r>
          </w:p>
        </w:tc>
        <w:tc>
          <w:tcPr>
            <w:tcW w:w="1127" w:type="dxa"/>
            <w:vAlign w:val="center"/>
          </w:tcPr>
          <w:p w14:paraId="276978D4">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行政</w:t>
            </w:r>
          </w:p>
        </w:tc>
        <w:tc>
          <w:tcPr>
            <w:tcW w:w="1214" w:type="dxa"/>
            <w:vAlign w:val="center"/>
          </w:tcPr>
          <w:p w14:paraId="057FC563">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正科级</w:t>
            </w:r>
          </w:p>
        </w:tc>
        <w:tc>
          <w:tcPr>
            <w:tcW w:w="2753" w:type="dxa"/>
            <w:vAlign w:val="center"/>
          </w:tcPr>
          <w:p w14:paraId="69E9CD12">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财政性资金基本保证</w:t>
            </w:r>
          </w:p>
        </w:tc>
      </w:tr>
      <w:tr w14:paraId="05F94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1" w:hRule="exact"/>
          <w:jc w:val="center"/>
        </w:trPr>
        <w:tc>
          <w:tcPr>
            <w:tcW w:w="4749" w:type="dxa"/>
            <w:vAlign w:val="center"/>
          </w:tcPr>
          <w:p w14:paraId="1F770E6E">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开发区社会发展局</w:t>
            </w:r>
          </w:p>
        </w:tc>
        <w:tc>
          <w:tcPr>
            <w:tcW w:w="1127" w:type="dxa"/>
            <w:vAlign w:val="center"/>
          </w:tcPr>
          <w:p w14:paraId="44A93EAB">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行政</w:t>
            </w:r>
          </w:p>
        </w:tc>
        <w:tc>
          <w:tcPr>
            <w:tcW w:w="1214" w:type="dxa"/>
            <w:vAlign w:val="center"/>
          </w:tcPr>
          <w:p w14:paraId="66C9901D">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正科级</w:t>
            </w:r>
          </w:p>
        </w:tc>
        <w:tc>
          <w:tcPr>
            <w:tcW w:w="2753" w:type="dxa"/>
            <w:vAlign w:val="center"/>
          </w:tcPr>
          <w:p w14:paraId="557CB8E7">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财政性资金基本保证</w:t>
            </w:r>
          </w:p>
        </w:tc>
      </w:tr>
      <w:tr w14:paraId="75D04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1" w:hRule="exact"/>
          <w:jc w:val="center"/>
        </w:trPr>
        <w:tc>
          <w:tcPr>
            <w:tcW w:w="4749" w:type="dxa"/>
            <w:vAlign w:val="center"/>
          </w:tcPr>
          <w:p w14:paraId="25363B9C">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开发区城改办</w:t>
            </w:r>
          </w:p>
        </w:tc>
        <w:tc>
          <w:tcPr>
            <w:tcW w:w="1127" w:type="dxa"/>
            <w:vAlign w:val="center"/>
          </w:tcPr>
          <w:p w14:paraId="174F419F">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行政</w:t>
            </w:r>
          </w:p>
        </w:tc>
        <w:tc>
          <w:tcPr>
            <w:tcW w:w="1214" w:type="dxa"/>
            <w:vAlign w:val="center"/>
          </w:tcPr>
          <w:p w14:paraId="4C1ED2BD">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正科级</w:t>
            </w:r>
          </w:p>
        </w:tc>
        <w:tc>
          <w:tcPr>
            <w:tcW w:w="2753" w:type="dxa"/>
            <w:vAlign w:val="center"/>
          </w:tcPr>
          <w:p w14:paraId="3C167678">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财政性资金基本保证</w:t>
            </w:r>
          </w:p>
        </w:tc>
      </w:tr>
      <w:tr w14:paraId="30A57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1" w:hRule="exact"/>
          <w:jc w:val="center"/>
        </w:trPr>
        <w:tc>
          <w:tcPr>
            <w:tcW w:w="4749" w:type="dxa"/>
            <w:vAlign w:val="center"/>
          </w:tcPr>
          <w:p w14:paraId="584191D3">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开发区公用局</w:t>
            </w:r>
          </w:p>
        </w:tc>
        <w:tc>
          <w:tcPr>
            <w:tcW w:w="1127" w:type="dxa"/>
            <w:vAlign w:val="center"/>
          </w:tcPr>
          <w:p w14:paraId="4CA4EBB4">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行政</w:t>
            </w:r>
          </w:p>
        </w:tc>
        <w:tc>
          <w:tcPr>
            <w:tcW w:w="1214" w:type="dxa"/>
            <w:vAlign w:val="center"/>
          </w:tcPr>
          <w:p w14:paraId="79492F39">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正科级</w:t>
            </w:r>
          </w:p>
        </w:tc>
        <w:tc>
          <w:tcPr>
            <w:tcW w:w="2753" w:type="dxa"/>
            <w:vAlign w:val="center"/>
          </w:tcPr>
          <w:p w14:paraId="6C14EC63">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财政性资金基本保证</w:t>
            </w:r>
          </w:p>
        </w:tc>
      </w:tr>
      <w:tr w14:paraId="7210A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1" w:hRule="exact"/>
          <w:jc w:val="center"/>
        </w:trPr>
        <w:tc>
          <w:tcPr>
            <w:tcW w:w="4749" w:type="dxa"/>
            <w:vAlign w:val="center"/>
          </w:tcPr>
          <w:p w14:paraId="09324996">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开发区国土局</w:t>
            </w:r>
          </w:p>
        </w:tc>
        <w:tc>
          <w:tcPr>
            <w:tcW w:w="1127" w:type="dxa"/>
            <w:vAlign w:val="center"/>
          </w:tcPr>
          <w:p w14:paraId="25B2BB14">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行政</w:t>
            </w:r>
          </w:p>
        </w:tc>
        <w:tc>
          <w:tcPr>
            <w:tcW w:w="1214" w:type="dxa"/>
            <w:vAlign w:val="center"/>
          </w:tcPr>
          <w:p w14:paraId="6F40E3A0">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正科级</w:t>
            </w:r>
          </w:p>
        </w:tc>
        <w:tc>
          <w:tcPr>
            <w:tcW w:w="2753" w:type="dxa"/>
            <w:vAlign w:val="center"/>
          </w:tcPr>
          <w:p w14:paraId="12E2BBA4">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财政性资金基本保证</w:t>
            </w:r>
          </w:p>
        </w:tc>
      </w:tr>
      <w:tr w14:paraId="036C7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1" w:hRule="exact"/>
          <w:jc w:val="center"/>
        </w:trPr>
        <w:tc>
          <w:tcPr>
            <w:tcW w:w="4749" w:type="dxa"/>
            <w:vAlign w:val="center"/>
          </w:tcPr>
          <w:p w14:paraId="0B439E36">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开发区综合执法局</w:t>
            </w:r>
          </w:p>
        </w:tc>
        <w:tc>
          <w:tcPr>
            <w:tcW w:w="1127" w:type="dxa"/>
            <w:vAlign w:val="center"/>
          </w:tcPr>
          <w:p w14:paraId="5544CAF8">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行政</w:t>
            </w:r>
          </w:p>
        </w:tc>
        <w:tc>
          <w:tcPr>
            <w:tcW w:w="1214" w:type="dxa"/>
            <w:vAlign w:val="center"/>
          </w:tcPr>
          <w:p w14:paraId="0417EA5D">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正科级</w:t>
            </w:r>
          </w:p>
        </w:tc>
        <w:tc>
          <w:tcPr>
            <w:tcW w:w="2753" w:type="dxa"/>
            <w:vAlign w:val="center"/>
          </w:tcPr>
          <w:p w14:paraId="7E40967A">
            <w:pPr>
              <w:spacing w:line="300" w:lineRule="exact"/>
              <w:jc w:val="left"/>
              <w:rPr>
                <w:rFonts w:ascii="微软雅黑" w:hAnsi="微软雅黑" w:eastAsia="微软雅黑" w:cs="微软雅黑"/>
                <w:sz w:val="28"/>
                <w:szCs w:val="28"/>
              </w:rPr>
            </w:pPr>
            <w:r>
              <w:rPr>
                <w:rFonts w:hint="eastAsia" w:ascii="微软雅黑" w:hAnsi="微软雅黑" w:eastAsia="微软雅黑" w:cs="微软雅黑"/>
                <w:sz w:val="28"/>
                <w:szCs w:val="28"/>
              </w:rPr>
              <w:t>财政性资金基本保证</w:t>
            </w:r>
          </w:p>
        </w:tc>
      </w:tr>
    </w:tbl>
    <w:p w14:paraId="718C2323">
      <w:pPr>
        <w:rPr>
          <w:rFonts w:ascii="微软雅黑" w:hAnsi="微软雅黑" w:eastAsia="微软雅黑" w:cs="微软雅黑"/>
          <w:b/>
          <w:bCs/>
          <w:sz w:val="28"/>
          <w:szCs w:val="28"/>
        </w:rPr>
      </w:pPr>
    </w:p>
    <w:p w14:paraId="58D5DDB8">
      <w:pPr>
        <w:rPr>
          <w:rFonts w:ascii="微软雅黑" w:hAnsi="微软雅黑" w:eastAsia="微软雅黑" w:cs="微软雅黑"/>
          <w:sz w:val="28"/>
          <w:szCs w:val="28"/>
        </w:rPr>
      </w:pPr>
      <w:r>
        <w:rPr>
          <w:rFonts w:hint="eastAsia" w:ascii="微软雅黑" w:hAnsi="微软雅黑" w:eastAsia="微软雅黑" w:cs="微软雅黑"/>
          <w:b/>
          <w:bCs/>
          <w:sz w:val="28"/>
          <w:szCs w:val="28"/>
        </w:rPr>
        <w:t xml:space="preserve">  </w:t>
      </w:r>
      <w:r>
        <w:rPr>
          <w:rFonts w:hint="eastAsia" w:ascii="微软雅黑" w:hAnsi="微软雅黑" w:eastAsia="微软雅黑" w:cs="微软雅黑"/>
          <w:sz w:val="28"/>
          <w:szCs w:val="28"/>
        </w:rPr>
        <w:t xml:space="preserve">  2017年全区共设22个单位，分别为办公室、政研室、人社局、科技局、财政局、监察局、经发局、环保局、工会、安监局、企业党委、卫计局、招商一局、招商二局、招商三局、招商综合局、规划建设局、社发局、城改办、公用局、国土局、综合执法局。</w:t>
      </w:r>
      <w:r>
        <w:rPr>
          <w:rFonts w:hint="eastAsia" w:ascii="微软雅黑" w:hAnsi="微软雅黑" w:eastAsia="微软雅黑" w:cs="微软雅黑"/>
          <w:sz w:val="28"/>
          <w:szCs w:val="28"/>
          <w:lang w:eastAsia="zh-CN"/>
        </w:rPr>
        <w:t>原因是</w:t>
      </w:r>
      <w:r>
        <w:rPr>
          <w:rFonts w:hint="eastAsia" w:ascii="微软雅黑" w:hAnsi="微软雅黑" w:eastAsia="微软雅黑" w:cs="微软雅黑"/>
          <w:sz w:val="28"/>
          <w:szCs w:val="28"/>
        </w:rPr>
        <w:t>我区没有一级政府，所以历年来部门决算都按照管委会一个部门汇总报送。</w:t>
      </w:r>
    </w:p>
    <w:p w14:paraId="5E074014">
      <w:pPr>
        <w:rPr>
          <w:rFonts w:ascii="微软雅黑" w:hAnsi="微软雅黑" w:eastAsia="微软雅黑" w:cs="微软雅黑"/>
          <w:sz w:val="28"/>
          <w:szCs w:val="28"/>
        </w:rPr>
      </w:pPr>
    </w:p>
    <w:p w14:paraId="654346F1">
      <w:pPr>
        <w:numPr>
          <w:ilvl w:val="0"/>
          <w:numId w:val="4"/>
        </w:numPr>
        <w:jc w:val="center"/>
        <w:rPr>
          <w:rFonts w:ascii="微软雅黑" w:hAnsi="微软雅黑" w:eastAsia="微软雅黑" w:cs="微软雅黑"/>
          <w:b/>
          <w:bCs/>
          <w:sz w:val="36"/>
          <w:szCs w:val="36"/>
        </w:rPr>
      </w:pPr>
      <w:r>
        <w:rPr>
          <w:rFonts w:hint="eastAsia" w:ascii="微软雅黑" w:hAnsi="微软雅黑" w:eastAsia="微软雅黑" w:cs="微软雅黑"/>
          <w:b/>
          <w:bCs/>
          <w:sz w:val="36"/>
          <w:szCs w:val="36"/>
        </w:rPr>
        <w:t>分    2017年度开发区部门决算表</w:t>
      </w:r>
    </w:p>
    <w:p w14:paraId="2CD7A47E">
      <w:pPr>
        <w:jc w:val="center"/>
        <w:rPr>
          <w:rFonts w:ascii="微软雅黑" w:hAnsi="微软雅黑" w:eastAsia="微软雅黑" w:cs="微软雅黑"/>
          <w:b/>
          <w:bCs/>
          <w:sz w:val="28"/>
          <w:szCs w:val="28"/>
        </w:rPr>
      </w:pPr>
    </w:p>
    <w:p w14:paraId="0C179A93">
      <w:pPr>
        <w:rPr>
          <w:rFonts w:ascii="微软雅黑" w:hAnsi="微软雅黑" w:eastAsia="微软雅黑" w:cs="微软雅黑"/>
          <w:b/>
          <w:bCs/>
          <w:sz w:val="28"/>
          <w:szCs w:val="28"/>
        </w:rPr>
      </w:pPr>
      <w:r>
        <w:rPr>
          <w:rFonts w:hint="eastAsia" w:ascii="微软雅黑" w:hAnsi="微软雅黑" w:eastAsia="微软雅黑" w:cs="微软雅黑"/>
          <w:b/>
          <w:bCs/>
          <w:sz w:val="28"/>
          <w:szCs w:val="28"/>
        </w:rPr>
        <w:t>见附表</w:t>
      </w:r>
    </w:p>
    <w:p w14:paraId="322A54AC">
      <w:pPr>
        <w:jc w:val="center"/>
        <w:rPr>
          <w:rFonts w:ascii="微软雅黑" w:hAnsi="微软雅黑" w:eastAsia="微软雅黑" w:cs="微软雅黑"/>
          <w:b/>
          <w:bCs/>
          <w:sz w:val="28"/>
          <w:szCs w:val="28"/>
        </w:rPr>
      </w:pPr>
    </w:p>
    <w:p w14:paraId="4A0C8582">
      <w:pPr>
        <w:jc w:val="center"/>
        <w:rPr>
          <w:rFonts w:ascii="微软雅黑" w:hAnsi="微软雅黑" w:eastAsia="微软雅黑" w:cs="微软雅黑"/>
          <w:b/>
          <w:bCs/>
          <w:sz w:val="28"/>
          <w:szCs w:val="28"/>
        </w:rPr>
      </w:pPr>
    </w:p>
    <w:p w14:paraId="09533DEB">
      <w:pPr>
        <w:spacing w:line="360" w:lineRule="auto"/>
        <w:rPr>
          <w:rFonts w:ascii="黑体" w:hAnsi="黑体" w:eastAsia="黑体" w:cs="Arial"/>
          <w:color w:val="000000"/>
          <w:kern w:val="0"/>
          <w:sz w:val="30"/>
          <w:szCs w:val="30"/>
        </w:rPr>
      </w:pPr>
    </w:p>
    <w:p w14:paraId="172BC6A3">
      <w:pPr>
        <w:spacing w:line="360" w:lineRule="auto"/>
      </w:pPr>
    </w:p>
    <w:p w14:paraId="4F573DC6">
      <w:pPr>
        <w:rPr>
          <w:rFonts w:ascii="微软雅黑" w:hAnsi="微软雅黑" w:eastAsia="微软雅黑" w:cs="微软雅黑"/>
          <w:b/>
          <w:bCs/>
          <w:sz w:val="28"/>
          <w:szCs w:val="28"/>
        </w:rPr>
      </w:pPr>
    </w:p>
    <w:p w14:paraId="5352AD31">
      <w:pPr>
        <w:jc w:val="center"/>
        <w:rPr>
          <w:rFonts w:ascii="微软雅黑" w:hAnsi="微软雅黑" w:eastAsia="微软雅黑" w:cs="微软雅黑"/>
          <w:b/>
          <w:bCs/>
          <w:sz w:val="28"/>
          <w:szCs w:val="28"/>
        </w:rPr>
      </w:pPr>
    </w:p>
    <w:p w14:paraId="66531FB4">
      <w:pPr>
        <w:jc w:val="center"/>
        <w:rPr>
          <w:rFonts w:ascii="微软雅黑" w:hAnsi="微软雅黑" w:eastAsia="微软雅黑" w:cs="微软雅黑"/>
          <w:b/>
          <w:bCs/>
          <w:sz w:val="28"/>
          <w:szCs w:val="28"/>
        </w:rPr>
      </w:pPr>
    </w:p>
    <w:p w14:paraId="022D5A5A">
      <w:pPr>
        <w:jc w:val="center"/>
        <w:rPr>
          <w:rFonts w:ascii="微软雅黑" w:hAnsi="微软雅黑" w:eastAsia="微软雅黑" w:cs="微软雅黑"/>
          <w:b/>
          <w:bCs/>
          <w:sz w:val="28"/>
          <w:szCs w:val="28"/>
        </w:rPr>
      </w:pPr>
    </w:p>
    <w:p w14:paraId="0ED6BCED">
      <w:pPr>
        <w:jc w:val="center"/>
        <w:rPr>
          <w:rFonts w:ascii="微软雅黑" w:hAnsi="微软雅黑" w:eastAsia="微软雅黑" w:cs="微软雅黑"/>
          <w:b/>
          <w:bCs/>
          <w:sz w:val="28"/>
          <w:szCs w:val="28"/>
        </w:rPr>
      </w:pPr>
    </w:p>
    <w:p w14:paraId="0C19940A">
      <w:pPr>
        <w:jc w:val="center"/>
        <w:rPr>
          <w:rFonts w:ascii="微软雅黑" w:hAnsi="微软雅黑" w:eastAsia="微软雅黑" w:cs="微软雅黑"/>
          <w:b/>
          <w:bCs/>
          <w:sz w:val="30"/>
          <w:szCs w:val="30"/>
        </w:rPr>
      </w:pPr>
      <w:r>
        <w:rPr>
          <w:rFonts w:hint="eastAsia" w:ascii="微软雅黑" w:hAnsi="微软雅黑" w:eastAsia="微软雅黑" w:cs="微软雅黑"/>
          <w:b/>
          <w:bCs/>
          <w:sz w:val="36"/>
          <w:szCs w:val="36"/>
        </w:rPr>
        <w:t>第三部分    2017年管委会部门决算情况说明</w:t>
      </w:r>
    </w:p>
    <w:p w14:paraId="491B8E65">
      <w:pPr>
        <w:autoSpaceDE w:val="0"/>
        <w:autoSpaceDN w:val="0"/>
        <w:ind w:firstLine="640" w:firstLineChars="200"/>
        <w:jc w:val="left"/>
        <w:rPr>
          <w:rFonts w:ascii="微软雅黑" w:hAnsi="微软雅黑" w:eastAsia="微软雅黑" w:cs="微软雅黑"/>
          <w:b/>
          <w:color w:val="000000"/>
          <w:sz w:val="32"/>
        </w:rPr>
      </w:pPr>
      <w:r>
        <w:rPr>
          <w:rFonts w:hint="eastAsia" w:ascii="微软雅黑" w:hAnsi="微软雅黑" w:eastAsia="微软雅黑" w:cs="微软雅黑"/>
          <w:b/>
          <w:color w:val="000000"/>
          <w:sz w:val="32"/>
        </w:rPr>
        <w:t>一、2017年度收入支出决算总表情况说明</w:t>
      </w:r>
    </w:p>
    <w:p w14:paraId="42F7A1F0">
      <w:pPr>
        <w:autoSpaceDE w:val="0"/>
        <w:autoSpaceDN w:val="0"/>
        <w:ind w:firstLine="560" w:firstLineChars="200"/>
        <w:rPr>
          <w:rFonts w:ascii="微软雅黑" w:hAnsi="微软雅黑" w:eastAsia="微软雅黑" w:cs="微软雅黑"/>
          <w:color w:val="000000"/>
          <w:sz w:val="28"/>
          <w:szCs w:val="28"/>
        </w:rPr>
      </w:pPr>
      <w:r>
        <w:rPr>
          <w:rFonts w:hint="eastAsia" w:ascii="微软雅黑" w:hAnsi="微软雅黑" w:eastAsia="微软雅黑" w:cs="微软雅黑"/>
          <w:sz w:val="28"/>
          <w:szCs w:val="28"/>
        </w:rPr>
        <w:t xml:space="preserve">    </w:t>
      </w:r>
      <w:r>
        <w:rPr>
          <w:rFonts w:hint="eastAsia" w:ascii="微软雅黑" w:hAnsi="微软雅黑" w:eastAsia="微软雅黑" w:cs="微软雅黑"/>
          <w:color w:val="000000"/>
          <w:sz w:val="28"/>
          <w:szCs w:val="28"/>
        </w:rPr>
        <w:t>2017年度决算收入总计29933万元，</w:t>
      </w:r>
      <w:r>
        <w:rPr>
          <w:rFonts w:hint="eastAsia" w:ascii="微软雅黑" w:hAnsi="微软雅黑" w:eastAsia="微软雅黑" w:cs="微软雅黑"/>
          <w:sz w:val="28"/>
          <w:szCs w:val="28"/>
        </w:rPr>
        <w:t>2016年度</w:t>
      </w:r>
      <w:r>
        <w:rPr>
          <w:rFonts w:hint="eastAsia" w:ascii="微软雅黑" w:hAnsi="微软雅黑" w:eastAsia="微软雅黑" w:cs="微软雅黑"/>
          <w:color w:val="000000"/>
          <w:sz w:val="28"/>
          <w:szCs w:val="28"/>
        </w:rPr>
        <w:t>决算支出总计29933万元 。与2016年决算相比，分别减少93454万元，减少76%。2017年度决算收入总计中，年初结转和结余 0万元；2017年度决算支出总计中，年末结转和结余0万元。2017年严格按照年初预算执行，故与年初预算持平，无增减变化。</w:t>
      </w:r>
    </w:p>
    <w:p w14:paraId="03112C03">
      <w:pPr>
        <w:ind w:firstLine="560"/>
        <w:rPr>
          <w:rFonts w:ascii="微软雅黑" w:hAnsi="微软雅黑" w:eastAsia="微软雅黑" w:cs="微软雅黑"/>
          <w:sz w:val="28"/>
          <w:szCs w:val="28"/>
        </w:rPr>
      </w:pPr>
    </w:p>
    <w:p w14:paraId="2586DC7A">
      <w:pPr>
        <w:autoSpaceDE w:val="0"/>
        <w:autoSpaceDN w:val="0"/>
        <w:ind w:firstLine="640" w:firstLineChars="200"/>
        <w:jc w:val="left"/>
        <w:rPr>
          <w:rFonts w:ascii="微软雅黑" w:hAnsi="微软雅黑" w:eastAsia="微软雅黑" w:cs="TEOKIF+ºÚÌå"/>
          <w:b/>
          <w:color w:val="000000"/>
          <w:sz w:val="32"/>
          <w:szCs w:val="32"/>
        </w:rPr>
      </w:pPr>
      <w:r>
        <w:rPr>
          <w:rFonts w:hint="eastAsia" w:ascii="微软雅黑" w:hAnsi="微软雅黑" w:eastAsia="微软雅黑" w:cs="TEOKIF+ºÚÌå"/>
          <w:b/>
          <w:color w:val="000000"/>
          <w:sz w:val="32"/>
          <w:szCs w:val="32"/>
        </w:rPr>
        <w:t>二、</w:t>
      </w:r>
      <w:r>
        <w:rPr>
          <w:rFonts w:ascii="微软雅黑" w:hAnsi="微软雅黑" w:eastAsia="微软雅黑" w:cs="TEOKIF+ºÚÌå"/>
          <w:b/>
          <w:color w:val="000000"/>
          <w:sz w:val="32"/>
          <w:szCs w:val="32"/>
        </w:rPr>
        <w:t>201</w:t>
      </w:r>
      <w:r>
        <w:rPr>
          <w:rFonts w:hint="eastAsia" w:ascii="微软雅黑" w:hAnsi="微软雅黑" w:eastAsia="微软雅黑" w:cs="TEOKIF+ºÚÌå"/>
          <w:b/>
          <w:color w:val="000000"/>
          <w:sz w:val="32"/>
          <w:szCs w:val="32"/>
        </w:rPr>
        <w:t>7年度收入决算情况说明</w:t>
      </w:r>
    </w:p>
    <w:p w14:paraId="6EC8F96A">
      <w:pPr>
        <w:autoSpaceDE w:val="0"/>
        <w:autoSpaceDN w:val="0"/>
        <w:ind w:firstLine="560" w:firstLineChars="200"/>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本年收入合计29933万元，其中：财政拨款收入29933万元、事业收入0万元、其他收入0万元。具体情况如下：</w:t>
      </w:r>
    </w:p>
    <w:p w14:paraId="4DDF0E62">
      <w:pPr>
        <w:autoSpaceDE w:val="0"/>
        <w:autoSpaceDN w:val="0"/>
        <w:ind w:firstLine="560" w:firstLineChars="200"/>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（一）财政拨款收入29933万元。较 2016年决算123387万元，减少93454万元，减少 76%，主要</w:t>
      </w:r>
      <w:r>
        <w:rPr>
          <w:rFonts w:hint="eastAsia" w:ascii="微软雅黑" w:hAnsi="微软雅黑" w:eastAsia="微软雅黑" w:cs="微软雅黑"/>
          <w:color w:val="000000"/>
          <w:sz w:val="28"/>
          <w:szCs w:val="28"/>
          <w:lang w:eastAsia="zh-CN"/>
        </w:rPr>
        <w:t>原因</w:t>
      </w:r>
      <w:r>
        <w:rPr>
          <w:rFonts w:hint="eastAsia" w:ascii="微软雅黑" w:hAnsi="微软雅黑" w:eastAsia="微软雅黑" w:cs="微软雅黑"/>
          <w:color w:val="000000"/>
          <w:sz w:val="28"/>
          <w:szCs w:val="28"/>
        </w:rPr>
        <w:t>是</w:t>
      </w:r>
      <w:r>
        <w:rPr>
          <w:rFonts w:hint="eastAsia" w:ascii="Calibri" w:hAnsi="Calibri" w:eastAsia="Calibri" w:cs="Calibri"/>
          <w:color w:val="000000"/>
          <w:sz w:val="28"/>
          <w:szCs w:val="28"/>
        </w:rPr>
        <w:t>①</w:t>
      </w:r>
      <w:r>
        <w:rPr>
          <w:rFonts w:hint="eastAsia" w:ascii="微软雅黑" w:hAnsi="微软雅黑" w:eastAsia="微软雅黑" w:cs="微软雅黑"/>
          <w:color w:val="000000"/>
          <w:sz w:val="28"/>
          <w:szCs w:val="28"/>
        </w:rPr>
        <w:t>2017年部门决算增加了代列任务，其中本年代列资金共87974万元，占减少资金的94%，</w:t>
      </w:r>
      <w:r>
        <w:rPr>
          <w:rFonts w:hint="eastAsia" w:ascii="Calibri" w:hAnsi="Calibri" w:eastAsia="Calibri" w:cs="Calibri"/>
          <w:color w:val="000000"/>
          <w:sz w:val="28"/>
          <w:szCs w:val="28"/>
        </w:rPr>
        <w:t>②</w:t>
      </w:r>
      <w:r>
        <w:rPr>
          <w:rFonts w:hint="eastAsia" w:ascii="微软雅黑" w:hAnsi="微软雅黑" w:eastAsia="微软雅黑" w:cs="微软雅黑"/>
          <w:color w:val="000000"/>
          <w:sz w:val="28"/>
          <w:szCs w:val="28"/>
        </w:rPr>
        <w:t>其余减少5480万元，占减少资金的6%，主要减少</w:t>
      </w:r>
      <w:r>
        <w:rPr>
          <w:rFonts w:hint="eastAsia" w:ascii="微软雅黑" w:hAnsi="微软雅黑" w:eastAsia="微软雅黑" w:cs="微软雅黑"/>
          <w:color w:val="000000"/>
          <w:sz w:val="28"/>
          <w:szCs w:val="28"/>
          <w:lang w:eastAsia="zh-CN"/>
        </w:rPr>
        <w:t>原因是</w:t>
      </w:r>
      <w:r>
        <w:rPr>
          <w:rFonts w:hint="eastAsia" w:ascii="微软雅黑" w:hAnsi="微软雅黑" w:eastAsia="微软雅黑" w:cs="微软雅黑"/>
          <w:color w:val="000000"/>
          <w:sz w:val="28"/>
          <w:szCs w:val="28"/>
        </w:rPr>
        <w:t>2015年2016年两年北京现代汽车项目落户我区，市财政连续两年为我区下达现代汽车专项扶持资金数亿元，2017年我区并未收到相关专项资金，所以财政收入出现较上年减少情况。2017年严格按照年初预算执行，故与年初预算持平，无增减变化。</w:t>
      </w:r>
    </w:p>
    <w:p w14:paraId="7F2672C0">
      <w:pPr>
        <w:ind w:firstLine="560"/>
        <w:rPr>
          <w:rFonts w:ascii="微软雅黑" w:hAnsi="微软雅黑" w:eastAsia="微软雅黑" w:cs="微软雅黑"/>
          <w:sz w:val="28"/>
          <w:szCs w:val="28"/>
        </w:rPr>
      </w:pPr>
    </w:p>
    <w:p w14:paraId="1062F7C5">
      <w:pPr>
        <w:autoSpaceDE w:val="0"/>
        <w:autoSpaceDN w:val="0"/>
        <w:ind w:firstLine="700" w:firstLineChars="250"/>
        <w:rPr>
          <w:rFonts w:ascii="微软雅黑" w:hAnsi="微软雅黑" w:eastAsia="微软雅黑" w:cs="微软雅黑"/>
          <w:color w:val="000000"/>
          <w:sz w:val="28"/>
          <w:szCs w:val="28"/>
        </w:rPr>
      </w:pPr>
    </w:p>
    <w:p w14:paraId="48B98509">
      <w:pPr>
        <w:autoSpaceDE w:val="0"/>
        <w:autoSpaceDN w:val="0"/>
        <w:ind w:firstLine="420" w:firstLineChars="150"/>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（二）事业收入0万元。是 0 收入。较2016年决算增加0万元，增长（下降）0 %。</w:t>
      </w:r>
    </w:p>
    <w:p w14:paraId="2E74EB53">
      <w:pPr>
        <w:autoSpaceDE w:val="0"/>
        <w:autoSpaceDN w:val="0"/>
        <w:ind w:firstLine="420" w:firstLineChars="150"/>
        <w:rPr>
          <w:rFonts w:ascii="微软雅黑" w:hAnsi="微软雅黑" w:eastAsia="微软雅黑" w:cs="微软雅黑"/>
          <w:sz w:val="28"/>
          <w:szCs w:val="28"/>
        </w:rPr>
      </w:pPr>
      <w:r>
        <w:rPr>
          <w:rFonts w:hint="eastAsia" w:ascii="微软雅黑" w:hAnsi="微软雅黑" w:eastAsia="微软雅黑" w:cs="微软雅黑"/>
          <w:color w:val="000000"/>
          <w:sz w:val="28"/>
          <w:szCs w:val="28"/>
        </w:rPr>
        <w:t>（三）其他收入 0万元。是 0资金。较2016年决算减少0万元，增长（下降）0 %。</w:t>
      </w:r>
    </w:p>
    <w:p w14:paraId="68D899CF">
      <w:pPr>
        <w:ind w:firstLine="640" w:firstLineChars="200"/>
        <w:rPr>
          <w:rFonts w:ascii="微软雅黑" w:hAnsi="微软雅黑" w:eastAsia="微软雅黑" w:cs="微软雅黑"/>
          <w:b/>
          <w:bCs/>
          <w:sz w:val="32"/>
          <w:szCs w:val="32"/>
        </w:rPr>
      </w:pPr>
      <w:r>
        <w:rPr>
          <w:rFonts w:hint="eastAsia" w:ascii="微软雅黑" w:hAnsi="微软雅黑" w:eastAsia="微软雅黑" w:cs="微软雅黑"/>
          <w:b/>
          <w:bCs/>
          <w:sz w:val="32"/>
          <w:szCs w:val="32"/>
        </w:rPr>
        <w:t>三、2017年度支出决算说明</w:t>
      </w:r>
    </w:p>
    <w:p w14:paraId="0787F609">
      <w:pPr>
        <w:autoSpaceDE w:val="0"/>
        <w:autoSpaceDN w:val="0"/>
        <w:ind w:firstLine="560" w:firstLineChars="200"/>
        <w:rPr>
          <w:rFonts w:ascii="微软雅黑" w:hAnsi="微软雅黑" w:eastAsia="微软雅黑" w:cs="微软雅黑"/>
          <w:color w:val="000000"/>
          <w:sz w:val="28"/>
          <w:szCs w:val="28"/>
        </w:rPr>
      </w:pPr>
      <w:r>
        <w:rPr>
          <w:rFonts w:hint="eastAsia" w:ascii="微软雅黑" w:hAnsi="微软雅黑" w:eastAsia="微软雅黑" w:cs="微软雅黑"/>
          <w:sz w:val="28"/>
          <w:szCs w:val="28"/>
        </w:rPr>
        <w:t xml:space="preserve">    </w:t>
      </w:r>
      <w:r>
        <w:rPr>
          <w:rFonts w:hint="eastAsia" w:ascii="微软雅黑" w:hAnsi="微软雅黑" w:eastAsia="微软雅黑" w:cs="微软雅黑"/>
          <w:color w:val="000000"/>
          <w:sz w:val="28"/>
          <w:szCs w:val="28"/>
        </w:rPr>
        <w:t>本年支出合29933万元，其中：基本支出5804万元，占19%；项目支出24129万元，占81%。与2016年度决算相比减少76%，主要</w:t>
      </w:r>
      <w:r>
        <w:rPr>
          <w:rFonts w:hint="eastAsia" w:ascii="微软雅黑" w:hAnsi="微软雅黑" w:eastAsia="微软雅黑" w:cs="微软雅黑"/>
          <w:color w:val="000000"/>
          <w:sz w:val="28"/>
          <w:szCs w:val="28"/>
          <w:lang w:eastAsia="zh-CN"/>
        </w:rPr>
        <w:t>原因</w:t>
      </w:r>
      <w:r>
        <w:rPr>
          <w:rFonts w:hint="eastAsia" w:ascii="微软雅黑" w:hAnsi="微软雅黑" w:eastAsia="微软雅黑" w:cs="微软雅黑"/>
          <w:color w:val="000000"/>
          <w:sz w:val="28"/>
          <w:szCs w:val="28"/>
        </w:rPr>
        <w:t>是</w:t>
      </w:r>
      <w:r>
        <w:rPr>
          <w:rFonts w:hint="eastAsia" w:ascii="Calibri" w:hAnsi="Calibri" w:eastAsia="Calibri" w:cs="Calibri"/>
          <w:color w:val="000000"/>
          <w:sz w:val="28"/>
          <w:szCs w:val="28"/>
        </w:rPr>
        <w:t>①</w:t>
      </w:r>
      <w:r>
        <w:rPr>
          <w:rFonts w:hint="eastAsia" w:ascii="微软雅黑" w:hAnsi="微软雅黑" w:eastAsia="微软雅黑" w:cs="微软雅黑"/>
          <w:color w:val="000000"/>
          <w:sz w:val="28"/>
          <w:szCs w:val="28"/>
        </w:rPr>
        <w:t>2017年部门决算增加了代列任务，其中本年代列资金共87974万元，占减少资金的94%，</w:t>
      </w:r>
      <w:r>
        <w:rPr>
          <w:rFonts w:hint="eastAsia" w:ascii="Calibri" w:hAnsi="Calibri" w:eastAsia="Calibri" w:cs="Calibri"/>
          <w:color w:val="000000"/>
          <w:sz w:val="28"/>
          <w:szCs w:val="28"/>
        </w:rPr>
        <w:t>②</w:t>
      </w:r>
      <w:r>
        <w:rPr>
          <w:rFonts w:hint="eastAsia" w:ascii="微软雅黑" w:hAnsi="微软雅黑" w:eastAsia="微软雅黑" w:cs="微软雅黑"/>
          <w:color w:val="000000"/>
          <w:sz w:val="28"/>
          <w:szCs w:val="28"/>
        </w:rPr>
        <w:t>其余减少5480万元，占减少资金的6%，主要减少</w:t>
      </w:r>
      <w:r>
        <w:rPr>
          <w:rFonts w:hint="eastAsia" w:ascii="微软雅黑" w:hAnsi="微软雅黑" w:eastAsia="微软雅黑" w:cs="微软雅黑"/>
          <w:color w:val="000000"/>
          <w:sz w:val="28"/>
          <w:szCs w:val="28"/>
          <w:lang w:eastAsia="zh-CN"/>
        </w:rPr>
        <w:t>原因是</w:t>
      </w:r>
      <w:bookmarkStart w:id="0" w:name="_GoBack"/>
      <w:bookmarkEnd w:id="0"/>
      <w:r>
        <w:rPr>
          <w:rFonts w:hint="eastAsia" w:ascii="微软雅黑" w:hAnsi="微软雅黑" w:eastAsia="微软雅黑" w:cs="微软雅黑"/>
          <w:color w:val="000000"/>
          <w:sz w:val="28"/>
          <w:szCs w:val="28"/>
        </w:rPr>
        <w:t>2016年大量财政投入到北京现代汽车项目，2017年该项目建设阶段财政投入已基本完成，故财政支出较去年减少。</w:t>
      </w:r>
    </w:p>
    <w:p w14:paraId="45B86202">
      <w:pPr>
        <w:autoSpaceDE w:val="0"/>
        <w:autoSpaceDN w:val="0"/>
        <w:ind w:firstLine="640" w:firstLineChars="200"/>
        <w:jc w:val="left"/>
        <w:rPr>
          <w:rFonts w:ascii="微软雅黑" w:hAnsi="微软雅黑" w:eastAsia="微软雅黑" w:cs="微软雅黑"/>
          <w:b/>
          <w:color w:val="000000"/>
          <w:sz w:val="32"/>
        </w:rPr>
      </w:pPr>
      <w:r>
        <w:rPr>
          <w:rFonts w:hint="eastAsia" w:ascii="微软雅黑" w:hAnsi="微软雅黑" w:eastAsia="微软雅黑" w:cs="微软雅黑"/>
          <w:b/>
          <w:color w:val="000000"/>
          <w:sz w:val="32"/>
        </w:rPr>
        <w:t>四、2017年度财政拨款收入支出决算总表情况说明</w:t>
      </w:r>
    </w:p>
    <w:p w14:paraId="1174EE6B">
      <w:pPr>
        <w:autoSpaceDE w:val="0"/>
        <w:autoSpaceDN w:val="0"/>
        <w:ind w:firstLine="700" w:firstLineChars="250"/>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2016年度财政拨款收入决算总计29933 万元，与年初预算无增减变化。与2016年度决算相比减少93454万元，减少76%。主要</w:t>
      </w:r>
      <w:r>
        <w:rPr>
          <w:rFonts w:hint="eastAsia" w:ascii="微软雅黑" w:hAnsi="微软雅黑" w:eastAsia="微软雅黑" w:cs="微软雅黑"/>
          <w:color w:val="000000"/>
          <w:sz w:val="28"/>
          <w:szCs w:val="28"/>
          <w:lang w:eastAsia="zh-CN"/>
        </w:rPr>
        <w:t>原因是</w:t>
      </w:r>
      <w:r>
        <w:rPr>
          <w:rFonts w:hint="eastAsia" w:ascii="Calibri" w:hAnsi="Calibri" w:eastAsia="Calibri" w:cs="Calibri"/>
          <w:color w:val="000000"/>
          <w:sz w:val="28"/>
          <w:szCs w:val="28"/>
        </w:rPr>
        <w:t>①</w:t>
      </w:r>
      <w:r>
        <w:rPr>
          <w:rFonts w:hint="eastAsia" w:ascii="微软雅黑" w:hAnsi="微软雅黑" w:eastAsia="微软雅黑" w:cs="微软雅黑"/>
          <w:color w:val="000000"/>
          <w:sz w:val="28"/>
          <w:szCs w:val="28"/>
        </w:rPr>
        <w:t>2017年部门决算增加了代列任务，其中本年代列资金共87974万元，占减少资金的94%，</w:t>
      </w:r>
      <w:r>
        <w:rPr>
          <w:rFonts w:hint="eastAsia" w:ascii="Calibri" w:hAnsi="Calibri" w:eastAsia="Calibri" w:cs="Calibri"/>
          <w:color w:val="000000"/>
          <w:sz w:val="28"/>
          <w:szCs w:val="28"/>
        </w:rPr>
        <w:t>②</w:t>
      </w:r>
      <w:r>
        <w:rPr>
          <w:rFonts w:hint="eastAsia" w:ascii="微软雅黑" w:hAnsi="微软雅黑" w:eastAsia="微软雅黑" w:cs="微软雅黑"/>
          <w:color w:val="000000"/>
          <w:sz w:val="28"/>
          <w:szCs w:val="28"/>
        </w:rPr>
        <w:t>其余减少5480万元，占减少资金的6%，主要减少</w:t>
      </w:r>
      <w:r>
        <w:rPr>
          <w:rFonts w:hint="eastAsia" w:ascii="微软雅黑" w:hAnsi="微软雅黑" w:eastAsia="微软雅黑" w:cs="微软雅黑"/>
          <w:color w:val="000000"/>
          <w:sz w:val="28"/>
          <w:szCs w:val="28"/>
          <w:lang w:eastAsia="zh-CN"/>
        </w:rPr>
        <w:t>原因是原因是</w:t>
      </w:r>
      <w:r>
        <w:rPr>
          <w:rFonts w:hint="eastAsia" w:ascii="微软雅黑" w:hAnsi="微软雅黑" w:eastAsia="微软雅黑" w:cs="微软雅黑"/>
          <w:color w:val="000000"/>
          <w:sz w:val="28"/>
          <w:szCs w:val="28"/>
        </w:rPr>
        <w:t>2015年2016年两年北京现代汽车项目落户我区，市财政连续两年为我区下达现代汽车专项扶持资金数亿元，2017年我区并未收到相关专项资金，所以财政收入出现较上年减少情况。</w:t>
      </w:r>
    </w:p>
    <w:p w14:paraId="35B7F989">
      <w:pPr>
        <w:autoSpaceDE w:val="0"/>
        <w:autoSpaceDN w:val="0"/>
        <w:ind w:firstLine="700" w:firstLineChars="250"/>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财政拨款支出决算总计29933万元，与年初预算无增减变化。与2016年</w:t>
      </w:r>
      <w:r>
        <w:rPr>
          <w:rFonts w:hint="eastAsia" w:ascii="微软雅黑" w:hAnsi="微软雅黑" w:eastAsia="微软雅黑" w:cs="微软雅黑"/>
          <w:sz w:val="28"/>
          <w:szCs w:val="28"/>
        </w:rPr>
        <w:t>度决算相比</w:t>
      </w:r>
      <w:r>
        <w:rPr>
          <w:rFonts w:hint="eastAsia" w:ascii="微软雅黑" w:hAnsi="微软雅黑" w:eastAsia="微软雅黑" w:cs="微软雅黑"/>
          <w:color w:val="000000"/>
          <w:sz w:val="28"/>
          <w:szCs w:val="28"/>
        </w:rPr>
        <w:t>减少76%</w:t>
      </w:r>
      <w:r>
        <w:rPr>
          <w:rFonts w:hint="eastAsia" w:ascii="微软雅黑" w:hAnsi="微软雅黑" w:eastAsia="微软雅黑" w:cs="微软雅黑"/>
          <w:sz w:val="28"/>
          <w:szCs w:val="28"/>
        </w:rPr>
        <w:t>。财政拨款收入决算总计中含年初财政拨款结转和</w:t>
      </w:r>
      <w:r>
        <w:rPr>
          <w:rFonts w:hint="eastAsia" w:ascii="微软雅黑" w:hAnsi="微软雅黑" w:eastAsia="微软雅黑" w:cs="微软雅黑"/>
          <w:color w:val="000000"/>
          <w:sz w:val="28"/>
          <w:szCs w:val="28"/>
        </w:rPr>
        <w:t>结余0万元，财政拨款支出总计中含年末财政拨款结转和结余0万元。</w:t>
      </w:r>
    </w:p>
    <w:p w14:paraId="4E94F670">
      <w:pPr>
        <w:autoSpaceDE w:val="0"/>
        <w:autoSpaceDN w:val="0"/>
        <w:ind w:firstLine="560" w:firstLineChars="200"/>
        <w:jc w:val="left"/>
        <w:rPr>
          <w:rFonts w:ascii="微软雅黑" w:hAnsi="微软雅黑" w:eastAsia="微软雅黑" w:cs="微软雅黑"/>
          <w:b/>
          <w:color w:val="000000"/>
          <w:sz w:val="32"/>
        </w:rPr>
      </w:pPr>
      <w:r>
        <w:rPr>
          <w:rFonts w:hint="eastAsia" w:ascii="微软雅黑" w:hAnsi="微软雅黑" w:eastAsia="微软雅黑" w:cs="微软雅黑"/>
          <w:sz w:val="28"/>
          <w:szCs w:val="28"/>
        </w:rPr>
        <w:t xml:space="preserve">  </w:t>
      </w:r>
      <w:r>
        <w:rPr>
          <w:rFonts w:hint="eastAsia" w:ascii="微软雅黑" w:hAnsi="微软雅黑" w:eastAsia="微软雅黑" w:cs="微软雅黑"/>
          <w:b/>
          <w:color w:val="000000"/>
          <w:sz w:val="32"/>
        </w:rPr>
        <w:t>五、2017年度一般公共预算财政拨款支出决算情况说明</w:t>
      </w:r>
    </w:p>
    <w:p w14:paraId="4FB47B04">
      <w:pPr>
        <w:autoSpaceDE w:val="0"/>
        <w:autoSpaceDN w:val="0"/>
        <w:ind w:firstLine="560" w:firstLineChars="200"/>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（一）财政拨款支出决算与年初预算数对比情况</w:t>
      </w:r>
    </w:p>
    <w:p w14:paraId="1F39B949">
      <w:pPr>
        <w:autoSpaceDE w:val="0"/>
        <w:autoSpaceDN w:val="0"/>
        <w:ind w:firstLine="700" w:firstLineChars="250"/>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2017年度财政拨款支出年初预算为27904万元，本年支出决算为27904万元，占年初预算的100%。与2016年决算相比，财政拨款支出减少64812万元，减少70%。主要</w:t>
      </w:r>
      <w:r>
        <w:rPr>
          <w:rFonts w:hint="eastAsia" w:ascii="微软雅黑" w:hAnsi="微软雅黑" w:eastAsia="微软雅黑" w:cs="微软雅黑"/>
          <w:color w:val="000000"/>
          <w:sz w:val="28"/>
          <w:szCs w:val="28"/>
          <w:lang w:eastAsia="zh-CN"/>
        </w:rPr>
        <w:t>原因是</w:t>
      </w:r>
      <w:r>
        <w:rPr>
          <w:rFonts w:hint="eastAsia" w:ascii="Calibri" w:hAnsi="Calibri" w:eastAsia="Calibri" w:cs="Calibri"/>
          <w:color w:val="000000"/>
          <w:sz w:val="28"/>
          <w:szCs w:val="28"/>
        </w:rPr>
        <w:t>①</w:t>
      </w:r>
      <w:r>
        <w:rPr>
          <w:rFonts w:hint="eastAsia" w:ascii="微软雅黑" w:hAnsi="微软雅黑" w:eastAsia="微软雅黑" w:cs="微软雅黑"/>
          <w:color w:val="000000"/>
          <w:sz w:val="28"/>
          <w:szCs w:val="28"/>
        </w:rPr>
        <w:t>2017年度部门决算报表增加了财政代列资金，本年一般公共预算支出代列资金共28924万元，占减少比例的45%，</w:t>
      </w:r>
      <w:r>
        <w:rPr>
          <w:rFonts w:hint="eastAsia" w:ascii="Calibri" w:hAnsi="Calibri" w:eastAsia="Calibri" w:cs="Calibri"/>
          <w:color w:val="000000"/>
          <w:sz w:val="28"/>
          <w:szCs w:val="28"/>
        </w:rPr>
        <w:t>②</w:t>
      </w:r>
      <w:r>
        <w:rPr>
          <w:rFonts w:hint="eastAsia" w:ascii="微软雅黑" w:hAnsi="微软雅黑" w:eastAsia="微软雅黑" w:cs="微软雅黑"/>
          <w:color w:val="000000"/>
          <w:sz w:val="28"/>
          <w:szCs w:val="28"/>
        </w:rPr>
        <w:t>其余减少35888万元，是</w:t>
      </w:r>
      <w:r>
        <w:rPr>
          <w:rFonts w:hint="eastAsia" w:ascii="微软雅黑" w:hAnsi="微软雅黑" w:eastAsia="微软雅黑" w:cs="微软雅黑"/>
          <w:color w:val="000000"/>
          <w:sz w:val="28"/>
          <w:szCs w:val="28"/>
          <w:lang w:eastAsia="zh-CN"/>
        </w:rPr>
        <w:t>原因是</w:t>
      </w:r>
      <w:r>
        <w:rPr>
          <w:rFonts w:hint="eastAsia" w:ascii="微软雅黑" w:hAnsi="微软雅黑" w:eastAsia="微软雅黑" w:cs="微软雅黑"/>
          <w:color w:val="000000"/>
          <w:sz w:val="28"/>
          <w:szCs w:val="28"/>
        </w:rPr>
        <w:t>今年对北京现代汽车产业的投入大幅减少。</w:t>
      </w:r>
    </w:p>
    <w:p w14:paraId="01FA7BB9">
      <w:pPr>
        <w:autoSpaceDE w:val="0"/>
        <w:autoSpaceDN w:val="0"/>
        <w:ind w:firstLine="560" w:firstLineChars="200"/>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（二）财政拨款支出决算结构</w:t>
      </w:r>
    </w:p>
    <w:p w14:paraId="1610F208">
      <w:pPr>
        <w:autoSpaceDE w:val="0"/>
        <w:autoSpaceDN w:val="0"/>
        <w:ind w:firstLine="700" w:firstLineChars="250"/>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2017年度财政拨款支出27904万元，按功能分类主要用于以下方面：</w:t>
      </w:r>
    </w:p>
    <w:p w14:paraId="63098E65">
      <w:pPr>
        <w:autoSpaceDE w:val="0"/>
        <w:autoSpaceDN w:val="0"/>
        <w:ind w:firstLine="700" w:firstLineChars="250"/>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（1）一般公共服务支出（类）9260万元，主要 反映政府机关、发改委、财政事务、税收事务、人力资源、纪检监察、招商引资、工商、质监、群众力体、企业党委、宣传等部门的行政运行和一般行政管理事务。</w:t>
      </w:r>
    </w:p>
    <w:p w14:paraId="66D40CF9">
      <w:pPr>
        <w:autoSpaceDE w:val="0"/>
        <w:autoSpaceDN w:val="0"/>
        <w:ind w:firstLine="700" w:firstLineChars="250"/>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（2）公共安全支出436万元，主要是治安管理和公共消防支出。</w:t>
      </w:r>
    </w:p>
    <w:p w14:paraId="40CD3B73">
      <w:pPr>
        <w:autoSpaceDE w:val="0"/>
        <w:autoSpaceDN w:val="0"/>
        <w:ind w:firstLine="700" w:firstLineChars="250"/>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（3）教育支出2118万元，主要是教育管理事务和普通教育支出。</w:t>
      </w:r>
    </w:p>
    <w:p w14:paraId="068C0E2D">
      <w:pPr>
        <w:autoSpaceDE w:val="0"/>
        <w:autoSpaceDN w:val="0"/>
        <w:ind w:firstLine="700" w:firstLineChars="250"/>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（4）科学技术支出6213万元，主要是科技管理，技术研究与开发，及其他科技项目支出。</w:t>
      </w:r>
    </w:p>
    <w:p w14:paraId="238ECB60">
      <w:pPr>
        <w:autoSpaceDE w:val="0"/>
        <w:autoSpaceDN w:val="0"/>
        <w:ind w:firstLine="700" w:firstLineChars="250"/>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（5）社会保障和就业支出951万元，主要是对社保基金的补助，就业补助，抚恤，残疾人事业，自然灾害生活求助，最低生活保障，特困人员供养，其他社保就业支出。</w:t>
      </w:r>
    </w:p>
    <w:p w14:paraId="3120D0AC">
      <w:pPr>
        <w:autoSpaceDE w:val="0"/>
        <w:autoSpaceDN w:val="0"/>
        <w:ind w:firstLine="700" w:firstLineChars="250"/>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（6）医疗卫生和计划生育支出457万元，主要是卫计一般管理事务，基层医疗卫生机构，公共卫生，医疗保障，计划生育事务，食品安全支出。</w:t>
      </w:r>
    </w:p>
    <w:p w14:paraId="4FE66FF2">
      <w:pPr>
        <w:autoSpaceDE w:val="0"/>
        <w:autoSpaceDN w:val="0"/>
        <w:ind w:firstLine="700" w:firstLineChars="250"/>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（7）节能环保支出4913万元，主要是环保管理事务，环境监测与监察，大气污染防治支出。</w:t>
      </w:r>
    </w:p>
    <w:p w14:paraId="6D3FD396">
      <w:pPr>
        <w:autoSpaceDE w:val="0"/>
        <w:autoSpaceDN w:val="0"/>
        <w:ind w:firstLine="700" w:firstLineChars="250"/>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（8）城乡社区支出2008万元，主要是城乡社区管理事务，城乡社区规划与管理，城乡社区公共设施，城乡社区环境卫生支出。</w:t>
      </w:r>
    </w:p>
    <w:p w14:paraId="036B9823">
      <w:pPr>
        <w:autoSpaceDE w:val="0"/>
        <w:autoSpaceDN w:val="0"/>
        <w:ind w:firstLine="700" w:firstLineChars="250"/>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（9）农林水支出849万元，主要是农业，林业，水利，农业综合开发，农业综合改革支出。</w:t>
      </w:r>
    </w:p>
    <w:p w14:paraId="2D955F9F">
      <w:pPr>
        <w:autoSpaceDE w:val="0"/>
        <w:autoSpaceDN w:val="0"/>
        <w:ind w:firstLine="700" w:firstLineChars="250"/>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（10）资源</w:t>
      </w:r>
      <w:r>
        <w:rPr>
          <w:rFonts w:hint="eastAsia" w:ascii="微软雅黑" w:hAnsi="微软雅黑" w:eastAsia="微软雅黑" w:cs="微软雅黑"/>
          <w:color w:val="000000"/>
          <w:sz w:val="28"/>
          <w:szCs w:val="28"/>
          <w:lang w:eastAsia="zh-CN"/>
        </w:rPr>
        <w:t>勘探</w:t>
      </w:r>
      <w:r>
        <w:rPr>
          <w:rFonts w:hint="eastAsia" w:ascii="微软雅黑" w:hAnsi="微软雅黑" w:eastAsia="微软雅黑" w:cs="微软雅黑"/>
          <w:color w:val="000000"/>
          <w:sz w:val="28"/>
          <w:szCs w:val="28"/>
        </w:rPr>
        <w:t>信息等支出379万元，主要用于工业和信息产业监管，安全生产监管，支持中小企业发展和管理支出。</w:t>
      </w:r>
    </w:p>
    <w:p w14:paraId="4766D077">
      <w:pPr>
        <w:autoSpaceDE w:val="0"/>
        <w:autoSpaceDN w:val="0"/>
        <w:ind w:firstLine="840" w:firstLineChars="300"/>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（11）国土海洋气象等支出3万元，主要是国土资源事务支出。</w:t>
      </w:r>
    </w:p>
    <w:p w14:paraId="38A2E12F">
      <w:pPr>
        <w:autoSpaceDE w:val="0"/>
        <w:autoSpaceDN w:val="0"/>
        <w:ind w:firstLine="700" w:firstLineChars="250"/>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（12）住房保障支出131万元，主要是住房公积金支出。</w:t>
      </w:r>
    </w:p>
    <w:p w14:paraId="51BC4410">
      <w:pPr>
        <w:autoSpaceDE w:val="0"/>
        <w:autoSpaceDN w:val="0"/>
        <w:ind w:firstLine="700" w:firstLineChars="250"/>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（13）其他支出186万元。</w:t>
      </w:r>
    </w:p>
    <w:p w14:paraId="3FDA9C24">
      <w:pPr>
        <w:autoSpaceDE w:val="0"/>
        <w:autoSpaceDN w:val="0"/>
        <w:ind w:firstLine="700" w:firstLineChars="250"/>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（三）一般公共预算财政拨款基本支出情况说明</w:t>
      </w:r>
    </w:p>
    <w:p w14:paraId="6C6B84AC">
      <w:pPr>
        <w:autoSpaceDE w:val="0"/>
        <w:autoSpaceDN w:val="0"/>
        <w:ind w:firstLine="700" w:firstLineChars="250"/>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2016年度一般公共预算财政拨款基本支出5804万元，支出具体情况如下：</w:t>
      </w:r>
    </w:p>
    <w:p w14:paraId="5A6A651F">
      <w:pPr>
        <w:autoSpaceDE w:val="0"/>
        <w:autoSpaceDN w:val="0"/>
        <w:ind w:firstLine="700" w:firstLineChars="250"/>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1、工资福利支出3344万元，较 2016年决算数减少263万元，下降7%。 主要</w:t>
      </w:r>
      <w:r>
        <w:rPr>
          <w:rFonts w:hint="eastAsia" w:ascii="微软雅黑" w:hAnsi="微软雅黑" w:eastAsia="微软雅黑" w:cs="微软雅黑"/>
          <w:color w:val="000000"/>
          <w:sz w:val="28"/>
          <w:szCs w:val="28"/>
          <w:lang w:eastAsia="zh-CN"/>
        </w:rPr>
        <w:t>原因是</w:t>
      </w:r>
      <w:r>
        <w:rPr>
          <w:rFonts w:hint="eastAsia" w:ascii="微软雅黑" w:hAnsi="微软雅黑" w:eastAsia="微软雅黑" w:cs="微软雅黑"/>
          <w:color w:val="000000"/>
          <w:sz w:val="28"/>
          <w:szCs w:val="28"/>
        </w:rPr>
        <w:t>养老金并轨，2016年有一大部分支出是补缴养老保险费用。</w:t>
      </w:r>
    </w:p>
    <w:p w14:paraId="411415F0">
      <w:pPr>
        <w:autoSpaceDE w:val="0"/>
        <w:autoSpaceDN w:val="0"/>
        <w:ind w:firstLine="700" w:firstLineChars="250"/>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2、商品和服务支出1890万元，较2016年决算数减少9799万元，减少84%。 主要</w:t>
      </w:r>
      <w:r>
        <w:rPr>
          <w:rFonts w:hint="eastAsia" w:ascii="微软雅黑" w:hAnsi="微软雅黑" w:eastAsia="微软雅黑" w:cs="微软雅黑"/>
          <w:color w:val="000000"/>
          <w:sz w:val="28"/>
          <w:szCs w:val="28"/>
          <w:lang w:eastAsia="zh-CN"/>
        </w:rPr>
        <w:t>原因是</w:t>
      </w:r>
      <w:r>
        <w:rPr>
          <w:rFonts w:hint="eastAsia" w:ascii="微软雅黑" w:hAnsi="微软雅黑" w:eastAsia="微软雅黑" w:cs="微软雅黑"/>
          <w:color w:val="000000"/>
          <w:sz w:val="28"/>
          <w:szCs w:val="28"/>
        </w:rPr>
        <w:t>2017年部门决算增加了财政代列任务，与部门无关的其他财政支出全部记到了代列表里，故较去年减少数额较大。</w:t>
      </w:r>
    </w:p>
    <w:p w14:paraId="3016CB7A">
      <w:pPr>
        <w:autoSpaceDE w:val="0"/>
        <w:autoSpaceDN w:val="0"/>
        <w:ind w:firstLine="560" w:firstLineChars="200"/>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3、对个人和家庭补助支出496万元，较2016年决算数减少1109万元，减少69%。 主要</w:t>
      </w:r>
      <w:r>
        <w:rPr>
          <w:rFonts w:hint="eastAsia" w:ascii="微软雅黑" w:hAnsi="微软雅黑" w:eastAsia="微软雅黑" w:cs="微软雅黑"/>
          <w:color w:val="000000"/>
          <w:sz w:val="28"/>
          <w:szCs w:val="28"/>
          <w:lang w:eastAsia="zh-CN"/>
        </w:rPr>
        <w:t>原因是</w:t>
      </w:r>
      <w:r>
        <w:rPr>
          <w:rFonts w:hint="eastAsia" w:ascii="微软雅黑" w:hAnsi="微软雅黑" w:eastAsia="微软雅黑" w:cs="微软雅黑"/>
          <w:color w:val="000000"/>
          <w:sz w:val="28"/>
          <w:szCs w:val="28"/>
        </w:rPr>
        <w:t>2017年部门决算增加了财政代列任务，与部门无关的其他财政支出全部记到了代列表里，故较去年减少数额较大。</w:t>
      </w:r>
    </w:p>
    <w:p w14:paraId="5FA3661C">
      <w:pPr>
        <w:autoSpaceDE w:val="0"/>
        <w:autoSpaceDN w:val="0"/>
        <w:ind w:left="798" w:leftChars="380"/>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4、其他资本性支出74万元，较2016年决算数减少216万元，减少74%。 主要</w:t>
      </w:r>
      <w:r>
        <w:rPr>
          <w:rFonts w:hint="eastAsia" w:ascii="微软雅黑" w:hAnsi="微软雅黑" w:eastAsia="微软雅黑" w:cs="微软雅黑"/>
          <w:color w:val="000000"/>
          <w:sz w:val="28"/>
          <w:szCs w:val="28"/>
          <w:lang w:eastAsia="zh-CN"/>
        </w:rPr>
        <w:t>原因是</w:t>
      </w:r>
      <w:r>
        <w:rPr>
          <w:rFonts w:hint="eastAsia" w:ascii="微软雅黑" w:hAnsi="微软雅黑" w:eastAsia="微软雅黑" w:cs="微软雅黑"/>
          <w:color w:val="000000"/>
          <w:sz w:val="28"/>
          <w:szCs w:val="28"/>
        </w:rPr>
        <w:t>本年只是正常办公购置，无大规模支出。</w:t>
      </w:r>
    </w:p>
    <w:p w14:paraId="01842366">
      <w:pPr>
        <w:autoSpaceDE w:val="0"/>
        <w:autoSpaceDN w:val="0"/>
        <w:ind w:firstLine="640" w:firstLineChars="200"/>
        <w:jc w:val="left"/>
        <w:rPr>
          <w:rFonts w:ascii="微软雅黑" w:hAnsi="微软雅黑" w:eastAsia="微软雅黑" w:cs="微软雅黑"/>
          <w:b/>
          <w:color w:val="000000"/>
          <w:sz w:val="32"/>
        </w:rPr>
      </w:pPr>
      <w:r>
        <w:rPr>
          <w:rFonts w:hint="eastAsia" w:ascii="微软雅黑" w:hAnsi="微软雅黑" w:eastAsia="微软雅黑" w:cs="微软雅黑"/>
          <w:b/>
          <w:color w:val="000000"/>
          <w:sz w:val="32"/>
        </w:rPr>
        <w:t>六、2017年度“三公”经费支出情况说明</w:t>
      </w:r>
    </w:p>
    <w:p w14:paraId="7E8B3105">
      <w:pPr>
        <w:autoSpaceDE w:val="0"/>
        <w:autoSpaceDN w:val="0"/>
        <w:ind w:firstLine="560" w:firstLineChars="200"/>
        <w:jc w:val="left"/>
        <w:rPr>
          <w:rFonts w:ascii="微软雅黑" w:hAnsi="微软雅黑" w:eastAsia="微软雅黑" w:cs="微软雅黑"/>
          <w:bCs/>
          <w:color w:val="000000"/>
          <w:sz w:val="28"/>
          <w:szCs w:val="28"/>
        </w:rPr>
      </w:pPr>
      <w:r>
        <w:rPr>
          <w:rFonts w:hint="eastAsia" w:ascii="微软雅黑" w:hAnsi="微软雅黑" w:eastAsia="微软雅黑" w:cs="微软雅黑"/>
          <w:bCs/>
          <w:color w:val="000000"/>
          <w:sz w:val="28"/>
          <w:szCs w:val="28"/>
        </w:rPr>
        <w:t xml:space="preserve"> 我单位本年度三公经费支出合计80万元，较2017年预算数无增减变化；较2016年决算数减少125万元，主要</w:t>
      </w:r>
      <w:r>
        <w:rPr>
          <w:rFonts w:hint="eastAsia" w:ascii="微软雅黑" w:hAnsi="微软雅黑" w:eastAsia="微软雅黑" w:cs="微软雅黑"/>
          <w:bCs/>
          <w:color w:val="000000"/>
          <w:sz w:val="28"/>
          <w:szCs w:val="28"/>
          <w:lang w:eastAsia="zh-CN"/>
        </w:rPr>
        <w:t>原因是</w:t>
      </w:r>
      <w:r>
        <w:rPr>
          <w:rFonts w:hint="eastAsia" w:ascii="微软雅黑" w:hAnsi="微软雅黑" w:eastAsia="微软雅黑" w:cs="微软雅黑"/>
          <w:bCs/>
          <w:color w:val="000000"/>
          <w:sz w:val="28"/>
          <w:szCs w:val="28"/>
        </w:rPr>
        <w:t>本年度北京现代项目已投入生产，不再产生大规模的招商与考察费用，另外我区严格把控公务接待费用，一切招商活动以外的接待费用一律不允许报销，严格控制接待标准，超标准超范围的一律不准报销，故公务接待费用较去年明显减少；另外公车实行办公室平台管理，管理力度比以前年度加大，严格控制公务用车的非公务活动，从而降低了公车运行成本。</w:t>
      </w:r>
    </w:p>
    <w:p w14:paraId="35891D7A">
      <w:pPr>
        <w:autoSpaceDE w:val="0"/>
        <w:autoSpaceDN w:val="0"/>
        <w:ind w:firstLine="700" w:firstLineChars="250"/>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全年发生公务用车购置及运行维护费34万元， 2017年度购置公务用车0辆，年末公务用车保有量9辆，较年初预算无增减，比2016年决算减少101万元，减少75%。公务用车运行维护费大幅度减少的主要</w:t>
      </w:r>
      <w:r>
        <w:rPr>
          <w:rFonts w:hint="eastAsia" w:ascii="微软雅黑" w:hAnsi="微软雅黑" w:eastAsia="微软雅黑" w:cs="微软雅黑"/>
          <w:color w:val="000000"/>
          <w:sz w:val="28"/>
          <w:szCs w:val="28"/>
          <w:lang w:eastAsia="zh-CN"/>
        </w:rPr>
        <w:t>原因是</w:t>
      </w:r>
      <w:r>
        <w:rPr>
          <w:rFonts w:hint="eastAsia" w:ascii="微软雅黑" w:hAnsi="微软雅黑" w:eastAsia="微软雅黑" w:cs="微软雅黑"/>
          <w:color w:val="000000"/>
          <w:sz w:val="28"/>
          <w:szCs w:val="28"/>
        </w:rPr>
        <w:t>机关及参公事业单位实行公务用车改革，相应减少公务用车运行费用支出，另外以前年度车补在此科目记账，规范科目。</w:t>
      </w:r>
    </w:p>
    <w:p w14:paraId="1E846F45">
      <w:pPr>
        <w:autoSpaceDE w:val="0"/>
        <w:autoSpaceDN w:val="0"/>
        <w:ind w:firstLine="560" w:firstLineChars="200"/>
        <w:jc w:val="left"/>
        <w:rPr>
          <w:rFonts w:ascii="微软雅黑" w:hAnsi="微软雅黑" w:eastAsia="微软雅黑" w:cs="微软雅黑"/>
          <w:bCs/>
          <w:color w:val="000000"/>
          <w:sz w:val="28"/>
          <w:szCs w:val="28"/>
        </w:rPr>
      </w:pPr>
      <w:r>
        <w:rPr>
          <w:rFonts w:hint="eastAsia" w:ascii="微软雅黑" w:hAnsi="微软雅黑" w:eastAsia="微软雅黑" w:cs="微软雅黑"/>
          <w:color w:val="000000"/>
          <w:sz w:val="28"/>
          <w:szCs w:val="28"/>
        </w:rPr>
        <w:t>全年发生公务接待费46万元，</w:t>
      </w:r>
      <w:r>
        <w:rPr>
          <w:rFonts w:hint="eastAsia" w:ascii="微软雅黑" w:hAnsi="微软雅黑" w:eastAsia="微软雅黑"/>
          <w:color w:val="000000"/>
          <w:sz w:val="28"/>
          <w:szCs w:val="28"/>
        </w:rPr>
        <w:t>国内公务接待312批次，合计接待3000人次，</w:t>
      </w:r>
      <w:r>
        <w:rPr>
          <w:rFonts w:hint="eastAsia" w:ascii="微软雅黑" w:hAnsi="微软雅黑" w:eastAsia="微软雅黑" w:cs="微软雅黑"/>
          <w:color w:val="000000"/>
          <w:sz w:val="28"/>
          <w:szCs w:val="28"/>
        </w:rPr>
        <w:t>较年初预算无增减，比2016年决算减少9万元，降低16%。</w:t>
      </w:r>
      <w:r>
        <w:rPr>
          <w:rFonts w:hint="eastAsia" w:ascii="微软雅黑" w:hAnsi="微软雅黑" w:eastAsia="微软雅黑" w:cs="微软雅黑"/>
          <w:bCs/>
          <w:color w:val="000000"/>
          <w:sz w:val="28"/>
          <w:szCs w:val="28"/>
        </w:rPr>
        <w:t>主要</w:t>
      </w:r>
      <w:r>
        <w:rPr>
          <w:rFonts w:hint="eastAsia" w:ascii="微软雅黑" w:hAnsi="微软雅黑" w:eastAsia="微软雅黑" w:cs="微软雅黑"/>
          <w:bCs/>
          <w:color w:val="000000"/>
          <w:sz w:val="28"/>
          <w:szCs w:val="28"/>
          <w:lang w:eastAsia="zh-CN"/>
        </w:rPr>
        <w:t>原因是</w:t>
      </w:r>
      <w:r>
        <w:rPr>
          <w:rFonts w:hint="eastAsia" w:ascii="微软雅黑" w:hAnsi="微软雅黑" w:eastAsia="微软雅黑" w:cs="微软雅黑"/>
          <w:bCs/>
          <w:color w:val="000000"/>
          <w:sz w:val="28"/>
          <w:szCs w:val="28"/>
        </w:rPr>
        <w:t>本年度严格把控公务接待费用，一切招商活动以外的接待费用一律不允许报销，严格控制接待标准，超标准超范围的一律不准报销，故公务接待费用较去年明显减少。</w:t>
      </w:r>
    </w:p>
    <w:p w14:paraId="5174F411">
      <w:pPr>
        <w:autoSpaceDE w:val="0"/>
        <w:autoSpaceDN w:val="0"/>
        <w:ind w:firstLine="700" w:firstLineChars="250"/>
        <w:rPr>
          <w:rFonts w:ascii="微软雅黑" w:hAnsi="微软雅黑" w:eastAsia="微软雅黑" w:cs="微软雅黑"/>
          <w:sz w:val="28"/>
          <w:szCs w:val="28"/>
        </w:rPr>
      </w:pPr>
      <w:r>
        <w:rPr>
          <w:rFonts w:hint="eastAsia" w:ascii="微软雅黑" w:hAnsi="微软雅黑" w:eastAsia="微软雅黑"/>
          <w:color w:val="000000"/>
          <w:sz w:val="28"/>
          <w:szCs w:val="28"/>
        </w:rPr>
        <w:t>全年发生因公出国（境）费用0万元，发生因公出国（境）团组数为0组，人次数为0人，与年初预算无增减，与2016年度决算减少15万元，减少100%，</w:t>
      </w:r>
      <w:r>
        <w:rPr>
          <w:rFonts w:hint="eastAsia" w:ascii="微软雅黑" w:hAnsi="微软雅黑" w:eastAsia="微软雅黑"/>
          <w:color w:val="000000"/>
          <w:sz w:val="28"/>
          <w:szCs w:val="28"/>
          <w:lang w:eastAsia="zh-CN"/>
        </w:rPr>
        <w:t>原因是</w:t>
      </w:r>
      <w:r>
        <w:rPr>
          <w:rFonts w:hint="eastAsia" w:ascii="微软雅黑" w:hAnsi="微软雅黑" w:eastAsia="微软雅黑"/>
          <w:color w:val="000000"/>
          <w:sz w:val="28"/>
          <w:szCs w:val="28"/>
        </w:rPr>
        <w:t>本年度未安排出国招商事宜。</w:t>
      </w:r>
    </w:p>
    <w:p w14:paraId="46614485">
      <w:pPr>
        <w:autoSpaceDE w:val="0"/>
        <w:autoSpaceDN w:val="0"/>
        <w:ind w:firstLine="588" w:firstLineChars="196"/>
        <w:jc w:val="left"/>
        <w:rPr>
          <w:rFonts w:ascii="微软雅黑" w:hAnsi="微软雅黑" w:eastAsia="微软雅黑" w:cs="微软雅黑"/>
          <w:b/>
          <w:color w:val="000000"/>
          <w:sz w:val="30"/>
          <w:szCs w:val="30"/>
        </w:rPr>
      </w:pPr>
      <w:r>
        <w:rPr>
          <w:rFonts w:hint="eastAsia" w:ascii="微软雅黑" w:hAnsi="微软雅黑" w:eastAsia="微软雅黑" w:cs="微软雅黑"/>
          <w:b/>
          <w:color w:val="000000"/>
          <w:sz w:val="30"/>
          <w:szCs w:val="30"/>
        </w:rPr>
        <w:t>七、2017年度我部门预算绩效管理工作开展情况说明</w:t>
      </w:r>
    </w:p>
    <w:p w14:paraId="5883F62A">
      <w:pPr>
        <w:ind w:firstLine="600" w:firstLineChars="200"/>
        <w:jc w:val="left"/>
        <w:rPr>
          <w:rFonts w:ascii="微软雅黑" w:hAnsi="微软雅黑" w:eastAsia="微软雅黑" w:cs="微软雅黑"/>
          <w:b/>
          <w:bCs/>
          <w:sz w:val="30"/>
          <w:szCs w:val="30"/>
        </w:rPr>
      </w:pPr>
      <w:r>
        <w:rPr>
          <w:rFonts w:hint="eastAsia" w:ascii="微软雅黑" w:hAnsi="微软雅黑" w:eastAsia="微软雅黑" w:cs="微软雅黑"/>
          <w:b/>
          <w:bCs/>
          <w:sz w:val="30"/>
          <w:szCs w:val="30"/>
        </w:rPr>
        <w:t>总体绩效目标：</w:t>
      </w:r>
    </w:p>
    <w:p w14:paraId="31A1A66A">
      <w:pPr>
        <w:ind w:firstLine="560" w:firstLineChars="200"/>
        <w:rPr>
          <w:rFonts w:ascii="微软雅黑" w:hAnsi="微软雅黑" w:eastAsia="微软雅黑" w:cs="微软雅黑"/>
          <w:sz w:val="28"/>
          <w:szCs w:val="28"/>
        </w:rPr>
      </w:pPr>
      <w:r>
        <w:rPr>
          <w:rFonts w:hint="eastAsia" w:ascii="微软雅黑" w:hAnsi="微软雅黑" w:eastAsia="微软雅黑" w:cs="微软雅黑"/>
          <w:sz w:val="28"/>
          <w:szCs w:val="28"/>
        </w:rPr>
        <w:t>建立了“部门职责-工作活动-预算项目”三个层级的绩效预算管理结构，初步建立了我区“预算编制有目标、预算执行有监控、预算完成有评价、评价结果有应用、绩效缺失有问责”的全过程绩效预算管理新机制。</w:t>
      </w:r>
    </w:p>
    <w:p w14:paraId="0BCF3F0F">
      <w:pPr>
        <w:ind w:firstLine="560" w:firstLineChars="200"/>
        <w:rPr>
          <w:rFonts w:ascii="微软雅黑" w:hAnsi="微软雅黑" w:eastAsia="微软雅黑" w:cs="微软雅黑"/>
          <w:sz w:val="28"/>
          <w:szCs w:val="28"/>
        </w:rPr>
      </w:pPr>
      <w:r>
        <w:rPr>
          <w:rFonts w:hint="eastAsia" w:ascii="微软雅黑" w:hAnsi="微软雅黑" w:eastAsia="微软雅黑" w:cs="微软雅黑"/>
          <w:sz w:val="28"/>
          <w:szCs w:val="28"/>
        </w:rPr>
        <w:t>按照要求，分别编制了一般公共预算、政府性基金预算、社会保险基金预算三本预算，因我区无国有资本经营收入，未编制国有资本经营预算。将税收返还、列入基数和提前通知的上级转移支付，与本级收入一并列入收入预算，统筹安排本级支出。</w:t>
      </w:r>
    </w:p>
    <w:p w14:paraId="75FD433A">
      <w:pPr>
        <w:ind w:firstLine="560" w:firstLineChars="200"/>
        <w:rPr>
          <w:rFonts w:ascii="微软雅黑" w:hAnsi="微软雅黑" w:eastAsia="微软雅黑" w:cs="微软雅黑"/>
          <w:sz w:val="32"/>
          <w:szCs w:val="32"/>
        </w:rPr>
      </w:pPr>
      <w:r>
        <w:rPr>
          <w:rFonts w:hint="eastAsia" w:ascii="微软雅黑" w:hAnsi="微软雅黑" w:eastAsia="微软雅黑" w:cs="微软雅黑"/>
          <w:sz w:val="28"/>
          <w:szCs w:val="28"/>
        </w:rPr>
        <w:t>按照年初确定的绩效目标指标，动态监控项目资金支出和项目运行，及时纠正出现的问题。将资金拨付与项目绩效目标指标相结合，对偏离绩效目标指标的项目，暂停拨付或调整预算。</w:t>
      </w:r>
    </w:p>
    <w:p w14:paraId="0E6A4CB9">
      <w:pPr>
        <w:autoSpaceDE w:val="0"/>
        <w:autoSpaceDN w:val="0"/>
        <w:ind w:firstLine="588" w:firstLineChars="196"/>
        <w:jc w:val="left"/>
        <w:rPr>
          <w:rFonts w:ascii="微软雅黑" w:hAnsi="微软雅黑" w:eastAsia="微软雅黑" w:cs="微软雅黑"/>
          <w:b/>
          <w:color w:val="000000"/>
          <w:sz w:val="30"/>
          <w:szCs w:val="30"/>
        </w:rPr>
      </w:pPr>
      <w:r>
        <w:rPr>
          <w:rFonts w:hint="eastAsia" w:ascii="微软雅黑" w:hAnsi="微软雅黑" w:eastAsia="微软雅黑" w:cs="微软雅黑"/>
          <w:b/>
          <w:color w:val="000000"/>
          <w:sz w:val="30"/>
          <w:szCs w:val="30"/>
        </w:rPr>
        <w:t>八、2017年度其他重要事项情况说明</w:t>
      </w:r>
    </w:p>
    <w:p w14:paraId="26233842">
      <w:pPr>
        <w:autoSpaceDE w:val="0"/>
        <w:autoSpaceDN w:val="0"/>
        <w:ind w:firstLine="560" w:firstLineChars="200"/>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（一）机关运行经费支出情况的说明</w:t>
      </w:r>
    </w:p>
    <w:p w14:paraId="6F09E590">
      <w:pPr>
        <w:autoSpaceDE w:val="0"/>
        <w:autoSpaceDN w:val="0"/>
        <w:ind w:firstLine="700" w:firstLineChars="250"/>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2017 年度本部门机关运行经费支出 1964万元，比2016 年决算减少90752万元，减少98%。主要</w:t>
      </w:r>
      <w:r>
        <w:rPr>
          <w:rFonts w:hint="eastAsia" w:ascii="微软雅黑" w:hAnsi="微软雅黑" w:eastAsia="微软雅黑" w:cs="微软雅黑"/>
          <w:color w:val="000000"/>
          <w:sz w:val="28"/>
          <w:szCs w:val="28"/>
          <w:lang w:eastAsia="zh-CN"/>
        </w:rPr>
        <w:t>原因是</w:t>
      </w:r>
      <w:r>
        <w:rPr>
          <w:rFonts w:hint="eastAsia" w:ascii="微软雅黑" w:hAnsi="微软雅黑" w:eastAsia="微软雅黑" w:cs="微软雅黑"/>
          <w:color w:val="000000"/>
          <w:sz w:val="28"/>
          <w:szCs w:val="28"/>
        </w:rPr>
        <w:t>本年度部门决算增加财政代列任务，非部门支出的90752万元在财政代列表中体现，故较去年减少较大。</w:t>
      </w:r>
    </w:p>
    <w:p w14:paraId="5A26A967">
      <w:pPr>
        <w:autoSpaceDE w:val="0"/>
        <w:autoSpaceDN w:val="0"/>
        <w:ind w:firstLine="700" w:firstLineChars="250"/>
        <w:rPr>
          <w:rFonts w:ascii="微软雅黑" w:hAnsi="微软雅黑" w:eastAsia="微软雅黑" w:cs="微软雅黑"/>
          <w:color w:val="000000"/>
          <w:sz w:val="28"/>
          <w:szCs w:val="28"/>
        </w:rPr>
      </w:pPr>
    </w:p>
    <w:p w14:paraId="31F464C8">
      <w:pPr>
        <w:autoSpaceDE w:val="0"/>
        <w:autoSpaceDN w:val="0"/>
        <w:ind w:firstLine="560" w:firstLineChars="200"/>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（二）政府采购支出情况</w:t>
      </w:r>
    </w:p>
    <w:p w14:paraId="5E2C2FA3">
      <w:pPr>
        <w:autoSpaceDE w:val="0"/>
        <w:autoSpaceDN w:val="0"/>
        <w:ind w:firstLine="700" w:firstLineChars="250"/>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2017 年度本部门政府采购支出总额2223万元，其中：政府采购货物支出503万元、政府采购工程支出180万元、政府采购服务支出1540万元。</w:t>
      </w:r>
    </w:p>
    <w:p w14:paraId="6CD2D55C">
      <w:pPr>
        <w:autoSpaceDE w:val="0"/>
        <w:autoSpaceDN w:val="0"/>
        <w:ind w:firstLine="700" w:firstLineChars="250"/>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（三）国有资产占用情况</w:t>
      </w:r>
    </w:p>
    <w:p w14:paraId="662BBD04">
      <w:pPr>
        <w:autoSpaceDE w:val="0"/>
        <w:autoSpaceDN w:val="0"/>
        <w:ind w:firstLine="700" w:firstLineChars="250"/>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截至 2017年 12 月 31 日，</w:t>
      </w:r>
      <w:r>
        <w:rPr>
          <w:rFonts w:hint="eastAsia" w:ascii="微软雅黑" w:hAnsi="微软雅黑" w:eastAsia="微软雅黑" w:cs="微软雅黑"/>
          <w:sz w:val="28"/>
          <w:szCs w:val="28"/>
        </w:rPr>
        <w:t>本部门共有车辆9辆，其中一般公务用车9 辆；</w:t>
      </w:r>
      <w:r>
        <w:rPr>
          <w:rFonts w:hint="eastAsia" w:ascii="微软雅黑" w:hAnsi="微软雅黑" w:eastAsia="微软雅黑" w:cs="微软雅黑"/>
          <w:color w:val="000000"/>
          <w:sz w:val="28"/>
          <w:szCs w:val="28"/>
        </w:rPr>
        <w:t>一般执法执勤用车0辆；特种专业技术用车0辆，其他车辆 0 辆。 单位价值 50 万元以大型设备 0台（套），单价100 万元以上大型设备0台（套）。</w:t>
      </w:r>
    </w:p>
    <w:p w14:paraId="7396BE26">
      <w:pPr>
        <w:jc w:val="center"/>
        <w:rPr>
          <w:rFonts w:ascii="微软雅黑" w:hAnsi="微软雅黑" w:eastAsia="微软雅黑" w:cs="微软雅黑"/>
          <w:b/>
          <w:sz w:val="44"/>
          <w:szCs w:val="44"/>
        </w:rPr>
      </w:pPr>
      <w:r>
        <w:rPr>
          <w:rFonts w:hint="eastAsia" w:ascii="微软雅黑" w:hAnsi="微软雅黑" w:eastAsia="微软雅黑" w:cs="微软雅黑"/>
          <w:b/>
          <w:sz w:val="36"/>
          <w:szCs w:val="36"/>
        </w:rPr>
        <w:t>第四部分：名词解释</w:t>
      </w:r>
    </w:p>
    <w:p w14:paraId="250B5C85">
      <w:pPr>
        <w:autoSpaceDE w:val="0"/>
        <w:autoSpaceDN w:val="0"/>
        <w:ind w:firstLine="800" w:firstLineChars="250"/>
        <w:rPr>
          <w:rFonts w:ascii="微软雅黑" w:hAnsi="微软雅黑" w:eastAsia="微软雅黑" w:cs="微软雅黑"/>
          <w:color w:val="000000"/>
          <w:sz w:val="32"/>
        </w:rPr>
      </w:pPr>
      <w:r>
        <w:rPr>
          <w:rFonts w:hint="eastAsia" w:ascii="微软雅黑" w:hAnsi="微软雅黑" w:eastAsia="微软雅黑" w:cs="微软雅黑"/>
          <w:color w:val="000000"/>
          <w:sz w:val="32"/>
        </w:rPr>
        <w:t>（一）财政拨款收入：指本年度从省级财政部门取得的财政拨款。</w:t>
      </w:r>
    </w:p>
    <w:p w14:paraId="70F00F97">
      <w:pPr>
        <w:autoSpaceDE w:val="0"/>
        <w:autoSpaceDN w:val="0"/>
        <w:ind w:firstLine="800" w:firstLineChars="250"/>
        <w:rPr>
          <w:rFonts w:ascii="微软雅黑" w:hAnsi="微软雅黑" w:eastAsia="微软雅黑" w:cs="微软雅黑"/>
          <w:color w:val="000000"/>
          <w:sz w:val="32"/>
        </w:rPr>
      </w:pPr>
      <w:r>
        <w:rPr>
          <w:rFonts w:hint="eastAsia" w:ascii="微软雅黑" w:hAnsi="微软雅黑" w:eastAsia="微软雅黑" w:cs="微软雅黑"/>
          <w:color w:val="000000"/>
          <w:sz w:val="32"/>
        </w:rPr>
        <w:t>（二）事业收入：指事业单位开展专业业务活动及辅助活动所取得的收入。如：河北省注册会计师协会、河北省注册资产评估师协会收取的会费收入等。</w:t>
      </w:r>
    </w:p>
    <w:p w14:paraId="30BC6A91">
      <w:pPr>
        <w:autoSpaceDE w:val="0"/>
        <w:autoSpaceDN w:val="0"/>
        <w:ind w:firstLine="800" w:firstLineChars="250"/>
        <w:rPr>
          <w:rFonts w:ascii="微软雅黑" w:hAnsi="微软雅黑" w:eastAsia="微软雅黑" w:cs="微软雅黑"/>
          <w:color w:val="000000"/>
          <w:sz w:val="32"/>
        </w:rPr>
      </w:pPr>
      <w:r>
        <w:rPr>
          <w:rFonts w:hint="eastAsia" w:ascii="微软雅黑" w:hAnsi="微软雅黑" w:eastAsia="微软雅黑" w:cs="微软雅黑"/>
          <w:color w:val="000000"/>
          <w:sz w:val="32"/>
        </w:rPr>
        <w:t>（三）其他收入：指除“财政拨款收入”、“上级补助收入”、“事业收入”、“经营收入”、“附属单位上缴收入”以外的各项收入。</w:t>
      </w:r>
    </w:p>
    <w:p w14:paraId="77EEB4E6">
      <w:pPr>
        <w:autoSpaceDE w:val="0"/>
        <w:autoSpaceDN w:val="0"/>
        <w:ind w:firstLine="800" w:firstLineChars="250"/>
        <w:rPr>
          <w:rFonts w:ascii="微软雅黑" w:hAnsi="微软雅黑" w:eastAsia="微软雅黑" w:cs="微软雅黑"/>
          <w:color w:val="000000"/>
          <w:sz w:val="32"/>
        </w:rPr>
      </w:pPr>
      <w:r>
        <w:rPr>
          <w:rFonts w:hint="eastAsia" w:ascii="微软雅黑" w:hAnsi="微软雅黑" w:eastAsia="微软雅黑" w:cs="微软雅黑"/>
          <w:color w:val="000000"/>
          <w:sz w:val="32"/>
        </w:rPr>
        <w:t>（四）用事业基金弥补收支差额：指事业单位在用当年的“财政拨款收入”、“财政拨款结转和结余资金”、“事业收入”、“其他收入”不足以安排当年支出的情况下，使用以前年度积累的事业基金（事业单位当年收支相抵后按国家规定提取、用于弥补以后年度收支差额的基金）弥补本年度收支缺口的资金。</w:t>
      </w:r>
    </w:p>
    <w:p w14:paraId="1169D2B5">
      <w:pPr>
        <w:autoSpaceDE w:val="0"/>
        <w:autoSpaceDN w:val="0"/>
        <w:ind w:firstLine="800" w:firstLineChars="250"/>
        <w:rPr>
          <w:rFonts w:ascii="微软雅黑" w:hAnsi="微软雅黑" w:eastAsia="微软雅黑" w:cs="微软雅黑"/>
          <w:color w:val="000000"/>
          <w:sz w:val="32"/>
        </w:rPr>
      </w:pPr>
      <w:r>
        <w:rPr>
          <w:rFonts w:hint="eastAsia" w:ascii="微软雅黑" w:hAnsi="微软雅黑" w:eastAsia="微软雅黑" w:cs="微软雅黑"/>
          <w:color w:val="000000"/>
          <w:sz w:val="32"/>
        </w:rPr>
        <w:t>（五）年初结转和结余：指以前年度尚未完成、结转到本年仍按原规定用途继续使用的资金。</w:t>
      </w:r>
    </w:p>
    <w:p w14:paraId="71EC81B7">
      <w:pPr>
        <w:autoSpaceDE w:val="0"/>
        <w:autoSpaceDN w:val="0"/>
        <w:ind w:firstLine="800" w:firstLineChars="250"/>
        <w:rPr>
          <w:rFonts w:ascii="微软雅黑" w:hAnsi="微软雅黑" w:eastAsia="微软雅黑" w:cs="微软雅黑"/>
          <w:color w:val="000000"/>
          <w:sz w:val="32"/>
        </w:rPr>
      </w:pPr>
      <w:r>
        <w:rPr>
          <w:rFonts w:hint="eastAsia" w:ascii="微软雅黑" w:hAnsi="微软雅黑" w:eastAsia="微软雅黑" w:cs="微软雅黑"/>
          <w:color w:val="000000"/>
          <w:sz w:val="32"/>
        </w:rPr>
        <w:t>（六）结余分配：指事业单位按照事业单位会计制度的规定从非财政补助结余中分配的事业基金和职工福利基金等。</w:t>
      </w:r>
    </w:p>
    <w:p w14:paraId="03FA6856">
      <w:pPr>
        <w:autoSpaceDE w:val="0"/>
        <w:autoSpaceDN w:val="0"/>
        <w:ind w:firstLine="800" w:firstLineChars="250"/>
        <w:rPr>
          <w:rFonts w:ascii="微软雅黑" w:hAnsi="微软雅黑" w:eastAsia="微软雅黑" w:cs="微软雅黑"/>
          <w:color w:val="000000"/>
          <w:sz w:val="32"/>
        </w:rPr>
      </w:pPr>
      <w:r>
        <w:rPr>
          <w:rFonts w:hint="eastAsia" w:ascii="微软雅黑" w:hAnsi="微软雅黑" w:eastAsia="微软雅黑" w:cs="微软雅黑"/>
          <w:color w:val="000000"/>
          <w:sz w:val="32"/>
        </w:rPr>
        <w:t>（七）年末结转和结余：指本年度或以前年度预算安排、因客观条件发生变化无法按原计划实施，需要延迟到以后年度按有关规定继续使用的资金。</w:t>
      </w:r>
    </w:p>
    <w:p w14:paraId="5473DC90">
      <w:pPr>
        <w:autoSpaceDE w:val="0"/>
        <w:autoSpaceDN w:val="0"/>
        <w:ind w:firstLine="800" w:firstLineChars="250"/>
        <w:rPr>
          <w:rFonts w:ascii="微软雅黑" w:hAnsi="微软雅黑" w:eastAsia="微软雅黑" w:cs="微软雅黑"/>
          <w:color w:val="000000"/>
          <w:sz w:val="32"/>
        </w:rPr>
      </w:pPr>
      <w:r>
        <w:rPr>
          <w:rFonts w:hint="eastAsia" w:ascii="微软雅黑" w:hAnsi="微软雅黑" w:eastAsia="微软雅黑" w:cs="微软雅黑"/>
          <w:color w:val="000000"/>
          <w:sz w:val="32"/>
        </w:rPr>
        <w:t>（八）基本支出：指为保障机构正常运转、完成日常工作任务而发生的人员支出和公用支出。</w:t>
      </w:r>
    </w:p>
    <w:p w14:paraId="13743FA0">
      <w:pPr>
        <w:autoSpaceDE w:val="0"/>
        <w:autoSpaceDN w:val="0"/>
        <w:ind w:firstLine="800" w:firstLineChars="250"/>
        <w:rPr>
          <w:rFonts w:ascii="微软雅黑" w:hAnsi="微软雅黑" w:eastAsia="微软雅黑" w:cs="微软雅黑"/>
          <w:color w:val="000000"/>
          <w:sz w:val="32"/>
        </w:rPr>
      </w:pPr>
      <w:r>
        <w:rPr>
          <w:rFonts w:hint="eastAsia" w:ascii="微软雅黑" w:hAnsi="微软雅黑" w:eastAsia="微软雅黑" w:cs="微软雅黑"/>
          <w:color w:val="000000"/>
          <w:sz w:val="32"/>
        </w:rPr>
        <w:t>（九）项目支出：指在基本支出之外为完成特定行政任务和事业发展目标所发生的支出。</w:t>
      </w:r>
    </w:p>
    <w:p w14:paraId="1212CD6A">
      <w:pPr>
        <w:autoSpaceDE w:val="0"/>
        <w:autoSpaceDN w:val="0"/>
        <w:ind w:firstLine="800" w:firstLineChars="250"/>
        <w:rPr>
          <w:rFonts w:ascii="微软雅黑" w:hAnsi="微软雅黑" w:eastAsia="微软雅黑" w:cs="微软雅黑"/>
          <w:color w:val="000000"/>
          <w:sz w:val="32"/>
        </w:rPr>
      </w:pPr>
      <w:r>
        <w:rPr>
          <w:rFonts w:hint="eastAsia" w:ascii="微软雅黑" w:hAnsi="微软雅黑" w:eastAsia="微软雅黑" w:cs="微软雅黑"/>
          <w:color w:val="000000"/>
          <w:sz w:val="32"/>
        </w:rPr>
        <w:t>（十）“三公”经费：财政预决算管理的“三公”经费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租用费、燃料费、维修费、过路过桥费、保险费、安全奖励费用等支出；公务接待费反映单位按规定开支的各类公务接待</w:t>
      </w:r>
    </w:p>
    <w:p w14:paraId="1764B388">
      <w:pPr>
        <w:autoSpaceDE w:val="0"/>
        <w:autoSpaceDN w:val="0"/>
        <w:rPr>
          <w:rFonts w:ascii="微软雅黑" w:hAnsi="微软雅黑" w:eastAsia="微软雅黑" w:cs="微软雅黑"/>
          <w:color w:val="000000"/>
          <w:sz w:val="32"/>
        </w:rPr>
      </w:pPr>
      <w:r>
        <w:rPr>
          <w:rFonts w:hint="eastAsia" w:ascii="微软雅黑" w:hAnsi="微软雅黑" w:eastAsia="微软雅黑" w:cs="微软雅黑"/>
          <w:color w:val="000000"/>
          <w:sz w:val="32"/>
        </w:rPr>
        <w:t>（含外宾接待）支出。</w:t>
      </w:r>
    </w:p>
    <w:p w14:paraId="1B058F35">
      <w:pPr>
        <w:autoSpaceDE w:val="0"/>
        <w:autoSpaceDN w:val="0"/>
        <w:ind w:firstLine="800" w:firstLineChars="250"/>
        <w:rPr>
          <w:rFonts w:ascii="微软雅黑" w:hAnsi="微软雅黑" w:eastAsia="微软雅黑" w:cs="微软雅黑"/>
          <w:color w:val="000000"/>
          <w:sz w:val="32"/>
        </w:rPr>
      </w:pPr>
      <w:r>
        <w:rPr>
          <w:rFonts w:hint="eastAsia" w:ascii="微软雅黑" w:hAnsi="微软雅黑" w:eastAsia="微软雅黑" w:cs="微软雅黑"/>
          <w:color w:val="000000"/>
          <w:sz w:val="32"/>
        </w:rPr>
        <w:t>（十一）其他交通费用：指单位除公务用车运行维护费以外的其他交通费用。主要是机关及参公事业单位发放的公务交通补贴等。</w:t>
      </w:r>
    </w:p>
    <w:p w14:paraId="4CBE7805">
      <w:pPr>
        <w:autoSpaceDE w:val="0"/>
        <w:autoSpaceDN w:val="0"/>
        <w:ind w:firstLine="800" w:firstLineChars="250"/>
        <w:rPr>
          <w:rFonts w:ascii="微软雅黑" w:hAnsi="微软雅黑" w:eastAsia="微软雅黑" w:cs="微软雅黑"/>
          <w:color w:val="000000"/>
          <w:sz w:val="32"/>
        </w:rPr>
      </w:pPr>
      <w:r>
        <w:rPr>
          <w:rFonts w:hint="eastAsia" w:ascii="微软雅黑" w:hAnsi="微软雅黑" w:eastAsia="微软雅黑" w:cs="微软雅黑"/>
          <w:color w:val="000000"/>
          <w:sz w:val="32"/>
        </w:rPr>
        <w:t>（十二）机关运行经费：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14:paraId="69AEF8F6">
      <w:pPr>
        <w:autoSpaceDE w:val="0"/>
        <w:autoSpaceDN w:val="0"/>
        <w:ind w:firstLine="800" w:firstLineChars="250"/>
        <w:rPr>
          <w:rFonts w:ascii="微软雅黑" w:hAnsi="微软雅黑" w:eastAsia="微软雅黑" w:cs="微软雅黑"/>
          <w:color w:val="000000"/>
          <w:sz w:val="32"/>
        </w:rPr>
      </w:pPr>
      <w:r>
        <w:rPr>
          <w:rFonts w:hint="eastAsia" w:ascii="微软雅黑" w:hAnsi="微软雅黑" w:eastAsia="微软雅黑" w:cs="微软雅黑"/>
          <w:color w:val="000000"/>
          <w:sz w:val="32"/>
        </w:rPr>
        <w:t>（十三）财政事务：反映财政事务方面的支出。</w:t>
      </w:r>
    </w:p>
    <w:p w14:paraId="42600A4A">
      <w:pPr>
        <w:autoSpaceDE w:val="0"/>
        <w:autoSpaceDN w:val="0"/>
        <w:ind w:firstLine="800" w:firstLineChars="250"/>
        <w:rPr>
          <w:rFonts w:ascii="微软雅黑" w:hAnsi="微软雅黑" w:eastAsia="微软雅黑" w:cs="微软雅黑"/>
          <w:color w:val="000000"/>
          <w:sz w:val="32"/>
        </w:rPr>
      </w:pPr>
      <w:r>
        <w:rPr>
          <w:rFonts w:hint="eastAsia" w:ascii="微软雅黑" w:hAnsi="微软雅黑" w:eastAsia="微软雅黑" w:cs="微软雅黑"/>
          <w:color w:val="000000"/>
          <w:sz w:val="32"/>
        </w:rPr>
        <w:t>（十四）港澳台侨事务：反映港澳台侨事务方面的支出。</w:t>
      </w:r>
    </w:p>
    <w:p w14:paraId="18E363A3">
      <w:pPr>
        <w:autoSpaceDE w:val="0"/>
        <w:autoSpaceDN w:val="0"/>
        <w:ind w:firstLine="800" w:firstLineChars="250"/>
        <w:rPr>
          <w:rFonts w:ascii="微软雅黑" w:hAnsi="微软雅黑" w:eastAsia="微软雅黑" w:cs="微软雅黑"/>
          <w:color w:val="000000"/>
          <w:sz w:val="32"/>
        </w:rPr>
      </w:pPr>
      <w:r>
        <w:rPr>
          <w:rFonts w:hint="eastAsia" w:ascii="微软雅黑" w:hAnsi="微软雅黑" w:eastAsia="微软雅黑" w:cs="微软雅黑"/>
          <w:color w:val="000000"/>
          <w:sz w:val="32"/>
        </w:rPr>
        <w:t>（十五）科学技术管理事务：反映各级政府科学技术管理事务方面的支出。</w:t>
      </w:r>
    </w:p>
    <w:p w14:paraId="19261118">
      <w:pPr>
        <w:autoSpaceDE w:val="0"/>
        <w:autoSpaceDN w:val="0"/>
        <w:ind w:firstLine="800" w:firstLineChars="250"/>
        <w:rPr>
          <w:rFonts w:ascii="微软雅黑" w:hAnsi="微软雅黑" w:eastAsia="微软雅黑" w:cs="微软雅黑"/>
          <w:color w:val="000000"/>
          <w:sz w:val="32"/>
        </w:rPr>
      </w:pPr>
      <w:r>
        <w:rPr>
          <w:rFonts w:hint="eastAsia" w:ascii="微软雅黑" w:hAnsi="微软雅黑" w:eastAsia="微软雅黑" w:cs="微软雅黑"/>
          <w:color w:val="000000"/>
          <w:sz w:val="32"/>
        </w:rPr>
        <w:t>（十六）应用研究：反映在基础研究成果上，针对某一特定的实际目的或目标进行的创造性研究工作的支出。</w:t>
      </w:r>
    </w:p>
    <w:p w14:paraId="6584AA8D">
      <w:pPr>
        <w:autoSpaceDE w:val="0"/>
        <w:autoSpaceDN w:val="0"/>
        <w:ind w:firstLine="800" w:firstLineChars="250"/>
        <w:rPr>
          <w:rFonts w:ascii="微软雅黑" w:hAnsi="微软雅黑" w:eastAsia="微软雅黑" w:cs="微软雅黑"/>
          <w:color w:val="000000"/>
          <w:sz w:val="32"/>
        </w:rPr>
      </w:pPr>
      <w:r>
        <w:rPr>
          <w:rFonts w:hint="eastAsia" w:ascii="微软雅黑" w:hAnsi="微软雅黑" w:eastAsia="微软雅黑" w:cs="微软雅黑"/>
          <w:color w:val="000000"/>
          <w:sz w:val="32"/>
        </w:rPr>
        <w:t>（十七）技术研究与开发：反映用于技术研究与开发方面的支出。</w:t>
      </w:r>
    </w:p>
    <w:p w14:paraId="2C5380B5">
      <w:pPr>
        <w:autoSpaceDE w:val="0"/>
        <w:autoSpaceDN w:val="0"/>
        <w:ind w:firstLine="800" w:firstLineChars="250"/>
        <w:rPr>
          <w:rFonts w:ascii="微软雅黑" w:hAnsi="微软雅黑" w:eastAsia="微软雅黑" w:cs="微软雅黑"/>
          <w:color w:val="000000"/>
          <w:sz w:val="32"/>
        </w:rPr>
      </w:pPr>
      <w:r>
        <w:rPr>
          <w:rFonts w:hint="eastAsia" w:ascii="微软雅黑" w:hAnsi="微软雅黑" w:eastAsia="微软雅黑" w:cs="微软雅黑"/>
          <w:color w:val="000000"/>
          <w:sz w:val="32"/>
        </w:rPr>
        <w:t>（十八）社会科学：反映用于社会科学方面的支出。</w:t>
      </w:r>
    </w:p>
    <w:p w14:paraId="66AE534A">
      <w:pPr>
        <w:autoSpaceDE w:val="0"/>
        <w:autoSpaceDN w:val="0"/>
        <w:ind w:firstLine="800" w:firstLineChars="250"/>
        <w:rPr>
          <w:rFonts w:ascii="微软雅黑" w:hAnsi="微软雅黑" w:eastAsia="微软雅黑" w:cs="微软雅黑"/>
          <w:color w:val="000000"/>
          <w:sz w:val="32"/>
        </w:rPr>
      </w:pPr>
      <w:r>
        <w:rPr>
          <w:rFonts w:hint="eastAsia" w:ascii="微软雅黑" w:hAnsi="微软雅黑" w:eastAsia="微软雅黑" w:cs="微软雅黑"/>
          <w:color w:val="000000"/>
          <w:sz w:val="32"/>
        </w:rPr>
        <w:t>（十九）行政事业单位离退休：反映用于行政事业单位离退休方面的支出。</w:t>
      </w:r>
    </w:p>
    <w:p w14:paraId="2F34CAA8">
      <w:pPr>
        <w:autoSpaceDE w:val="0"/>
        <w:autoSpaceDN w:val="0"/>
        <w:ind w:firstLine="800" w:firstLineChars="250"/>
        <w:rPr>
          <w:rFonts w:ascii="微软雅黑" w:hAnsi="微软雅黑" w:eastAsia="微软雅黑" w:cs="微软雅黑"/>
          <w:color w:val="000000"/>
          <w:sz w:val="32"/>
        </w:rPr>
      </w:pPr>
      <w:r>
        <w:rPr>
          <w:rFonts w:hint="eastAsia" w:ascii="微软雅黑" w:hAnsi="微软雅黑" w:eastAsia="微软雅黑" w:cs="微软雅黑"/>
          <w:color w:val="000000"/>
          <w:sz w:val="32"/>
        </w:rPr>
        <w:t>（二十）农村综合改革：反映用于农村综合改革方面的支出。</w:t>
      </w:r>
    </w:p>
    <w:p w14:paraId="7E8CB97A">
      <w:pPr>
        <w:autoSpaceDE w:val="0"/>
        <w:autoSpaceDN w:val="0"/>
        <w:ind w:firstLine="800" w:firstLineChars="250"/>
        <w:rPr>
          <w:rFonts w:ascii="微软雅黑" w:hAnsi="微软雅黑" w:eastAsia="微软雅黑" w:cs="微软雅黑"/>
        </w:rPr>
      </w:pPr>
      <w:r>
        <w:rPr>
          <w:rFonts w:hint="eastAsia" w:ascii="微软雅黑" w:hAnsi="微软雅黑" w:eastAsia="微软雅黑" w:cs="微软雅黑"/>
          <w:color w:val="000000"/>
          <w:sz w:val="32"/>
        </w:rPr>
        <w:t>（二十一）住房改革支出：反映行政事业单位用财政拨款资金和其他资金等安排的住房改革支出。</w:t>
      </w:r>
    </w:p>
    <w:p w14:paraId="358E0E46">
      <w:pPr>
        <w:rPr>
          <w:rFonts w:ascii="微软雅黑" w:hAnsi="微软雅黑" w:eastAsia="微软雅黑" w:cs="微软雅黑"/>
          <w:sz w:val="28"/>
          <w:szCs w:val="28"/>
        </w:rPr>
      </w:pPr>
    </w:p>
    <w:sectPr>
      <w:pgSz w:w="11906" w:h="16838"/>
      <w:pgMar w:top="1440" w:right="1080" w:bottom="1440" w:left="108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EOKIF+ºÚÌå">
    <w:altName w:val="Times New Roman"/>
    <w:panose1 w:val="00000000000000000000"/>
    <w:charset w:val="00"/>
    <w:family w:val="auto"/>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E1FEF"/>
    <w:multiLevelType w:val="singleLevel"/>
    <w:tmpl w:val="59AE1FEF"/>
    <w:lvl w:ilvl="0" w:tentative="0">
      <w:start w:val="1"/>
      <w:numFmt w:val="chineseCounting"/>
      <w:suff w:val="nothing"/>
      <w:lvlText w:val="%1、"/>
      <w:lvlJc w:val="left"/>
    </w:lvl>
  </w:abstractNum>
  <w:abstractNum w:abstractNumId="1">
    <w:nsid w:val="59AE202D"/>
    <w:multiLevelType w:val="singleLevel"/>
    <w:tmpl w:val="59AE202D"/>
    <w:lvl w:ilvl="0" w:tentative="0">
      <w:start w:val="1"/>
      <w:numFmt w:val="chineseCounting"/>
      <w:suff w:val="nothing"/>
      <w:lvlText w:val="%1、"/>
      <w:lvlJc w:val="left"/>
    </w:lvl>
  </w:abstractNum>
  <w:abstractNum w:abstractNumId="2">
    <w:nsid w:val="59AE22DD"/>
    <w:multiLevelType w:val="singleLevel"/>
    <w:tmpl w:val="59AE22DD"/>
    <w:lvl w:ilvl="0" w:tentative="0">
      <w:start w:val="1"/>
      <w:numFmt w:val="chineseCounting"/>
      <w:suff w:val="nothing"/>
      <w:lvlText w:val="%1、"/>
      <w:lvlJc w:val="left"/>
    </w:lvl>
  </w:abstractNum>
  <w:abstractNum w:abstractNumId="3">
    <w:nsid w:val="59FBDF0D"/>
    <w:multiLevelType w:val="singleLevel"/>
    <w:tmpl w:val="59FBDF0D"/>
    <w:lvl w:ilvl="0" w:tentative="0">
      <w:start w:val="2"/>
      <w:numFmt w:val="chineseCounting"/>
      <w:suff w:val="nothing"/>
      <w:lvlText w:val="第%1部"/>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VerticalSpacing w:val="159"/>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172A27"/>
    <w:rsid w:val="0023381B"/>
    <w:rsid w:val="009F1ACE"/>
    <w:rsid w:val="00D84B62"/>
    <w:rsid w:val="00E17156"/>
    <w:rsid w:val="02F32CFA"/>
    <w:rsid w:val="0C287735"/>
    <w:rsid w:val="10302F90"/>
    <w:rsid w:val="10660A17"/>
    <w:rsid w:val="110E763A"/>
    <w:rsid w:val="11CA11A1"/>
    <w:rsid w:val="121B0B5D"/>
    <w:rsid w:val="151A6E0A"/>
    <w:rsid w:val="156054B1"/>
    <w:rsid w:val="16BE1C3A"/>
    <w:rsid w:val="187C0C29"/>
    <w:rsid w:val="18BA53CE"/>
    <w:rsid w:val="191E10DD"/>
    <w:rsid w:val="1B2B2932"/>
    <w:rsid w:val="1C772508"/>
    <w:rsid w:val="1C9821E5"/>
    <w:rsid w:val="1EDB500B"/>
    <w:rsid w:val="203F3FBF"/>
    <w:rsid w:val="22BF5269"/>
    <w:rsid w:val="22BF56C5"/>
    <w:rsid w:val="232470F0"/>
    <w:rsid w:val="26686BF8"/>
    <w:rsid w:val="277F77E5"/>
    <w:rsid w:val="27A357B5"/>
    <w:rsid w:val="27B20242"/>
    <w:rsid w:val="28455DF1"/>
    <w:rsid w:val="2874138F"/>
    <w:rsid w:val="289675BA"/>
    <w:rsid w:val="2B6E59A3"/>
    <w:rsid w:val="2BDE3F9A"/>
    <w:rsid w:val="2D86312E"/>
    <w:rsid w:val="2D9F5457"/>
    <w:rsid w:val="2DE70566"/>
    <w:rsid w:val="2FC2369C"/>
    <w:rsid w:val="300E3D9E"/>
    <w:rsid w:val="31560893"/>
    <w:rsid w:val="3242134C"/>
    <w:rsid w:val="35B801BE"/>
    <w:rsid w:val="38CD6FF5"/>
    <w:rsid w:val="3AAC3958"/>
    <w:rsid w:val="3AB93B78"/>
    <w:rsid w:val="3D3942AE"/>
    <w:rsid w:val="422C6807"/>
    <w:rsid w:val="43ED0DC6"/>
    <w:rsid w:val="460644AB"/>
    <w:rsid w:val="49311755"/>
    <w:rsid w:val="497F1BE0"/>
    <w:rsid w:val="49EB7F3E"/>
    <w:rsid w:val="4A25750C"/>
    <w:rsid w:val="4BDE7972"/>
    <w:rsid w:val="4F6F512B"/>
    <w:rsid w:val="50E3078C"/>
    <w:rsid w:val="521F728D"/>
    <w:rsid w:val="52E5480C"/>
    <w:rsid w:val="542C332A"/>
    <w:rsid w:val="577F0781"/>
    <w:rsid w:val="57802226"/>
    <w:rsid w:val="5B807EC6"/>
    <w:rsid w:val="5DB91E8D"/>
    <w:rsid w:val="636E73D6"/>
    <w:rsid w:val="646802C9"/>
    <w:rsid w:val="65096795"/>
    <w:rsid w:val="687D5700"/>
    <w:rsid w:val="68C30A91"/>
    <w:rsid w:val="69E54529"/>
    <w:rsid w:val="6B8F5F92"/>
    <w:rsid w:val="6C165DDB"/>
    <w:rsid w:val="6DCA58B2"/>
    <w:rsid w:val="6F12121E"/>
    <w:rsid w:val="70BC2D53"/>
    <w:rsid w:val="720772AC"/>
    <w:rsid w:val="72BF5BE9"/>
    <w:rsid w:val="74C17CE0"/>
    <w:rsid w:val="76A844EF"/>
    <w:rsid w:val="797619C5"/>
    <w:rsid w:val="798209BF"/>
    <w:rsid w:val="79D45CFE"/>
    <w:rsid w:val="7AA03133"/>
    <w:rsid w:val="7BF73039"/>
    <w:rsid w:val="7C52743D"/>
    <w:rsid w:val="7C5430A4"/>
    <w:rsid w:val="7D72185E"/>
    <w:rsid w:val="7E660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ind w:firstLine="600"/>
    </w:pPr>
    <w:rPr>
      <w:rFonts w:ascii="宋体" w:hAnsi="宋体"/>
      <w:sz w:val="32"/>
    </w:rPr>
  </w:style>
  <w:style w:type="paragraph" w:customStyle="1" w:styleId="6">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5826</Words>
  <Characters>6289</Characters>
  <Lines>7</Lines>
  <Paragraphs>13</Paragraphs>
  <TotalTime>47</TotalTime>
  <ScaleCrop>false</ScaleCrop>
  <LinksUpToDate>false</LinksUpToDate>
  <CharactersWithSpaces>6489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2017-09-05T03:49:00Z</dcterms:created>
  <dc:creator>Administrator</dc:creator>
  <cp:lastModifiedBy>M.樱花落༄</cp:lastModifiedBy>
  <cp:lastPrinted>2017-11-09T01:00:00Z</cp:lastPrinted>
  <dcterms:modified xsi:type="dcterms:W3CDTF">2025-07-25T07:40:23Z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eyJoZGlkIjoiY2VlNWM1NTZhZGVhOWI4YjcyZjQ1ZjhhMjM1YzQ5YmEiLCJ1c2VySWQiOiI4NjE1NDI2NzMifQ==</vt:lpwstr>
  </property>
  <property fmtid="{D5CDD505-2E9C-101B-9397-08002B2CF9AE}" pid="4" name="ICV">
    <vt:lpwstr>27BE55B92FE94D0BA32ADF68FEC23CCD_12</vt:lpwstr>
  </property>
</Properties>
</file>