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center"/>
        <w:outlineLvl w:val="9"/>
      </w:pPr>
      <w:r>
        <w:rPr>
          <w:rFonts w:ascii="黑体" w:eastAsia="黑体" w:hAnsi="黑体" w:cs="黑体"/>
          <w:b/>
          <w:color w:val="000000"/>
          <w:sz w:val="30"/>
        </w:rPr>
        <w:t xml:space="preserve">第一部分  部门预算</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t xml:space="preserve">部门预算收支总表</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14562"/>
        </w:tabs>
      </w:pPr>
      <w:hyperlink w:anchor="_Toc_2_2_0000000002" w:history="1">
        <w:r>
          <w:t xml:space="preserve">部门预算收入总表</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14562"/>
        </w:tabs>
      </w:pPr>
      <w:hyperlink w:anchor="_Toc_2_2_0000000003" w:history="1">
        <w: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t xml:space="preserve">部门预算财政拨款收支总表</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14562"/>
        </w:tabs>
      </w:pPr>
      <w:hyperlink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14562"/>
        </w:tabs>
      </w:pPr>
      <w:hyperlink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14562"/>
        </w:tabs>
      </w:pPr>
      <w:hyperlink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hyperlink>
    </w:p>
    <w:p>
      <w:pPr>
        <w:pStyle w:val="TOC1"/>
        <w:tabs>
          <w:tab w:val="right" w:leader="dot" w:pos="14562"/>
        </w:tabs>
      </w:pPr>
      <w:hyperlink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hyperlink>
    </w:p>
    <w:p>
      <w:pPr>
        <w:pStyle w:val="TOC1"/>
        <w:tabs>
          <w:tab w:val="right" w:leader="dot" w:pos="14562"/>
        </w:tabs>
      </w:pPr>
      <w:hyperlink w:anchor="_Toc_2_2_0000000009" w:history="1">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hyperlink>
    </w:p>
    <w:p>
      <w:pPr>
        <w:pStyle w:val="TOC1"/>
        <w:tabs>
          <w:tab w:val="right" w:leader="dot" w:pos="14562"/>
        </w:tabs>
      </w:pPr>
      <w:hyperlink w:anchor="_Toc_3_3_0000000011" w:history="1">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hyperlink>
    </w:p>
    <w:p>
      <w:pPr>
        <w:pStyle w:val="TOC1"/>
        <w:tabs>
          <w:tab w:val="right" w:leader="dot" w:pos="14562"/>
        </w:tabs>
      </w:pPr>
      <w:hyperlink w:anchor="_Toc_3_3_0000000012" w:history="1">
        <w:r>
          <w:t xml:space="preserve">三、机关运行经费安排情况</w:t>
        </w:r>
        <w:r>
          <w:tab/>
        </w:r>
        <w:r>
          <w:fldChar w:fldCharType="begin"/>
        </w:r>
        <w:r>
          <w:instrText xml:space="preserve">PAGEREF _Toc_3_3_0000000012 \h</w:instrText>
        </w:r>
        <w:r>
          <w:fldChar w:fldCharType="separate"/>
        </w:r>
        <w:r>
          <w:t xml:space="preserve">14</w:t>
        </w:r>
        <w:r>
          <w:fldChar w:fldCharType="end"/>
        </w:r>
      </w:hyperlink>
    </w:p>
    <w:p>
      <w:pPr>
        <w:pStyle w:val="TOC1"/>
        <w:tabs>
          <w:tab w:val="right" w:leader="dot" w:pos="14562"/>
        </w:tabs>
      </w:pPr>
      <w:hyperlink w:anchor="_Toc_3_3_0000000013" w:history="1">
        <w:r>
          <w:t xml:space="preserve">四、财政拨款“三公”经费预算情况及增减变化原因</w:t>
        </w:r>
        <w:r>
          <w:tab/>
        </w:r>
        <w:r>
          <w:fldChar w:fldCharType="begin"/>
        </w:r>
        <w:r>
          <w:instrText xml:space="preserve">PAGEREF _Toc_3_3_0000000013 \h</w:instrText>
        </w:r>
        <w:r>
          <w:fldChar w:fldCharType="separate"/>
        </w:r>
        <w:r>
          <w:t xml:space="preserve">14</w:t>
        </w:r>
        <w:r>
          <w:fldChar w:fldCharType="end"/>
        </w:r>
      </w:hyperlink>
    </w:p>
    <w:p>
      <w:pPr>
        <w:pStyle w:val="TOC1"/>
        <w:tabs>
          <w:tab w:val="right" w:leader="dot" w:pos="14562"/>
        </w:tabs>
      </w:pPr>
      <w:hyperlink w:anchor="_Toc_3_3_0000000014" w:history="1">
        <w:r>
          <w:t xml:space="preserve">五、部门整体绩效目标</w:t>
        </w:r>
        <w:r>
          <w:tab/>
        </w:r>
        <w:r>
          <w:fldChar w:fldCharType="begin"/>
        </w:r>
        <w:r>
          <w:instrText xml:space="preserve">PAGEREF _Toc_3_3_0000000014 \h</w:instrText>
        </w:r>
        <w:r>
          <w:fldChar w:fldCharType="separate"/>
        </w:r>
        <w:r>
          <w:t xml:space="preserve">14</w:t>
        </w:r>
        <w:r>
          <w:fldChar w:fldCharType="end"/>
        </w:r>
      </w:hyperlink>
    </w:p>
    <w:p>
      <w:pPr>
        <w:pStyle w:val="TOC1"/>
        <w:tabs>
          <w:tab w:val="right" w:leader="dot" w:pos="14562"/>
        </w:tabs>
      </w:pPr>
      <w:hyperlink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17</w:t>
        </w:r>
        <w:r>
          <w:fldChar w:fldCharType="end"/>
        </w:r>
      </w:hyperlink>
    </w:p>
    <w:p>
      <w:pPr>
        <w:pStyle w:val="TOC1"/>
        <w:tabs>
          <w:tab w:val="right" w:leader="dot" w:pos="14562"/>
        </w:tabs>
      </w:pPr>
      <w:hyperlink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18</w:t>
        </w:r>
        <w:r>
          <w:fldChar w:fldCharType="end"/>
        </w:r>
      </w:hyperlink>
    </w:p>
    <w:p>
      <w:pPr>
        <w:pStyle w:val="TOC1"/>
        <w:tabs>
          <w:tab w:val="right" w:leader="dot" w:pos="14562"/>
        </w:tabs>
      </w:pPr>
      <w:hyperlink w:anchor="_Toc_3_3_0000000017" w:history="1">
        <w:r>
          <w:t xml:space="preserve">八、政府采购预算情况</w:t>
        </w:r>
        <w:r>
          <w:tab/>
        </w:r>
        <w:r>
          <w:fldChar w:fldCharType="begin"/>
        </w:r>
        <w:r>
          <w:instrText xml:space="preserve">PAGEREF _Toc_3_3_0000000017 \h</w:instrText>
        </w:r>
        <w:r>
          <w:fldChar w:fldCharType="separate"/>
        </w:r>
        <w:r>
          <w:t xml:space="preserve">25</w:t>
        </w:r>
        <w:r>
          <w:fldChar w:fldCharType="end"/>
        </w:r>
      </w:hyperlink>
    </w:p>
    <w:p>
      <w:pPr>
        <w:pStyle w:val="TOC1"/>
        <w:tabs>
          <w:tab w:val="right" w:leader="dot" w:pos="14562"/>
        </w:tabs>
      </w:pPr>
      <w:hyperlink w:anchor="_Toc_3_3_0000000018" w:history="1">
        <w:r>
          <w:t xml:space="preserve">九、国有资产信息</w:t>
        </w:r>
        <w:r>
          <w:tab/>
        </w:r>
        <w:r>
          <w:fldChar w:fldCharType="begin"/>
        </w:r>
        <w:r>
          <w:instrText xml:space="preserve">PAGEREF _Toc_3_3_0000000018 \h</w:instrText>
        </w:r>
        <w:r>
          <w:fldChar w:fldCharType="separate"/>
        </w:r>
        <w:r>
          <w:t xml:space="preserve">25</w:t>
        </w:r>
        <w:r>
          <w:fldChar w:fldCharType="end"/>
        </w:r>
      </w:hyperlink>
    </w:p>
    <w:p>
      <w:pPr>
        <w:pStyle w:val="TOC1"/>
        <w:tabs>
          <w:tab w:val="right" w:leader="dot" w:pos="14562"/>
        </w:tabs>
      </w:pPr>
      <w:hyperlink w:anchor="_Toc_3_3_0000000019" w:history="1">
        <w:r>
          <w:t xml:space="preserve">十、名词解释</w:t>
        </w:r>
        <w:r>
          <w:tab/>
        </w:r>
        <w:r>
          <w:fldChar w:fldCharType="begin"/>
        </w:r>
        <w:r>
          <w:instrText xml:space="preserve">PAGEREF _Toc_3_3_0000000019 \h</w:instrText>
        </w:r>
        <w:r>
          <w:fldChar w:fldCharType="separate"/>
        </w:r>
        <w:r>
          <w:t xml:space="preserve">25</w:t>
        </w:r>
        <w:r>
          <w:fldChar w:fldCharType="end"/>
        </w:r>
      </w:hyperlink>
    </w:p>
    <w:p>
      <w:pPr>
        <w:pStyle w:val="TOC1"/>
        <w:tabs>
          <w:tab w:val="right" w:leader="dot" w:pos="14562"/>
        </w:tabs>
      </w:pPr>
      <w:hyperlink w:anchor="_Toc_3_3_0000000020" w:history="1">
        <w:r>
          <w:t xml:space="preserve">十一、其他需要说明的事项</w:t>
        </w:r>
        <w:r>
          <w:tab/>
        </w:r>
        <w:r>
          <w:fldChar w:fldCharType="begin"/>
        </w:r>
        <w:r>
          <w:instrText xml:space="preserve">PAGEREF _Toc_3_3_0000000020 \h</w:instrText>
        </w:r>
        <w:r>
          <w:fldChar w:fldCharType="separate"/>
        </w:r>
        <w:r>
          <w:t xml:space="preserve">26</w:t>
        </w:r>
        <w:r>
          <w:fldChar w:fldCharType="end"/>
        </w:r>
      </w:hyperlink>
    </w:p>
    <w:p>
      <w:pPr/>
      <w:r>
        <w:fldChar w:fldCharType="end"/>
      </w:r>
    </w:p>
    <w:p>
      <w:pPr>
        <w:spacing w:before="0" w:after="0" w:line="240"/>
        <w:ind w:firstLine="0"/>
        <w:jc w:val="center"/>
        <w:outlineLvl w:val="9"/>
      </w:pPr>
      <w:r>
        <w:rPr>
          <w:rFonts w:ascii="黑体" w:eastAsia="黑体" w:hAnsi="黑体" w:cs="黑体"/>
          <w:b/>
          <w:color w:val="000000"/>
          <w:sz w:val="30"/>
        </w:rPr>
        <w:t xml:space="preserve">第二部分  部门所属单位预算</w:t>
      </w:r>
    </w:p>
    <w:p>
      <w:pPr>
        <w:pStyle w:val="TOC1"/>
        <w:tabs>
          <w:tab w:val="right" w:leader="dot" w:pos="14562"/>
        </w:tabs>
      </w:pPr>
      <w:r>
        <w:fldChar w:fldCharType="begin"/>
      </w:r>
      <w:r>
        <w:instrText xml:space="preserve">TOC \o "4-4" \h \z \u</w:instrText>
      </w:r>
      <w:r>
        <w:fldChar w:fldCharType="separate"/>
      </w:r>
      <w:hyperlink w:anchor="_Toc_4_4_0000000021" w:history="1">
        <w:r>
          <w:rPr>
            <w:b w:val="0"/>
          </w:rPr>
          <w:t xml:space="preserve">一、河北沧州经济开发区行政审批局本级收支预算</w:t>
        </w:r>
        <w:r>
          <w:tab/>
        </w:r>
        <w:r>
          <w:fldChar w:fldCharType="begin"/>
        </w:r>
        <w:r>
          <w:instrText xml:space="preserve">PAGEREF _Toc_4_4_0000000021 \h</w:instrText>
        </w:r>
        <w:r>
          <w:fldChar w:fldCharType="separate"/>
        </w:r>
        <w:r>
          <w:t xml:space="preserve">29</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footerReference w:type="even" r:id="rId1"/>
          <w:footerReference w:type="default" r:id="rId2"/>
          <w:type w:val="nextPage"/>
          <w:pgSz w:w="16840" w:h="11900" w:orient="landscape"/>
          <w:pgMar w:top="1361" w:right="1020" w:bottom="1134" w:left="1020" w:header="720" w:footer="720" w:gutter="0"/>
          <w:pgBorders/>
          <w:pgNumType w:start="1"/>
        </w:sectPr>
      </w:pPr>
      <w:r>
        <w:rPr>
          <w:rFonts w:ascii="方正小标宋_GBK" w:eastAsia="方正小标宋_GBK" w:hAnsi="方正小标宋_GBK" w:cs="方正小标宋_GBK"/>
          <w:color w:val="000000"/>
          <w:sz w:val="72"/>
        </w:rPr>
        <w:t xml:space="preserve">第一部分  部门预算</w:t>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473.20</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473.20</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473.20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473.20</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473.20</w:t>
            </w:r>
          </w:p>
        </w:tc>
        <w:tc>
          <w:tcPr>
            <w:tcW w:w="4535" w:type="dxa"/>
            <w:vAlign w:val="center"/>
          </w:tcPr>
          <w:p>
            <w:pPr>
              <w:pStyle w:val="单元格样式6"/>
            </w:pPr>
            <w:r>
              <w:t xml:space="preserve">支出总计</w:t>
            </w:r>
          </w:p>
        </w:tc>
        <w:tc>
          <w:tcPr>
            <w:tcW w:w="2126" w:type="dxa"/>
            <w:vAlign w:val="center"/>
          </w:tcPr>
          <w:p>
            <w:pPr>
              <w:pStyle w:val="单元格样式7"/>
            </w:pPr>
            <w:r>
              <w:t xml:space="preserve">473.20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473.20</w:t>
            </w:r>
          </w:p>
        </w:tc>
        <w:tc>
          <w:tcPr>
            <w:tcW w:w="1134" w:type="dxa"/>
            <w:vAlign w:val="center"/>
          </w:tcPr>
          <w:p>
            <w:pPr>
              <w:pStyle w:val="单元格样式7"/>
            </w:pPr>
            <w:r>
              <w:t xml:space="preserve">473.20</w:t>
            </w:r>
          </w:p>
        </w:tc>
        <w:tc>
          <w:tcPr>
            <w:tcW w:w="1134" w:type="dxa"/>
            <w:vAlign w:val="center"/>
          </w:tcPr>
          <w:p>
            <w:pPr>
              <w:pStyle w:val="单元格样式7"/>
            </w:pPr>
            <w:r>
              <w:t xml:space="preserve">473.20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473.20</w:t>
            </w:r>
          </w:p>
        </w:tc>
        <w:tc>
          <w:tcPr>
            <w:tcW w:w="1361" w:type="dxa"/>
            <w:vAlign w:val="center"/>
          </w:tcPr>
          <w:p>
            <w:pPr>
              <w:pStyle w:val="单元格样式7"/>
            </w:pPr>
            <w:r>
              <w:t xml:space="preserve">7.20</w:t>
            </w:r>
          </w:p>
        </w:tc>
        <w:tc>
          <w:tcPr>
            <w:tcW w:w="1361" w:type="dxa"/>
            <w:vAlign w:val="center"/>
          </w:tcPr>
          <w:p>
            <w:pPr>
              <w:pStyle w:val="单元格样式7"/>
            </w:pPr>
            <w:r>
              <w:t xml:space="preserve">466.00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473.20</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473.20</w:t>
            </w:r>
          </w:p>
        </w:tc>
        <w:tc>
          <w:tcPr>
            <w:tcW w:w="1474" w:type="dxa"/>
            <w:vAlign w:val="center"/>
          </w:tcPr>
          <w:p>
            <w:pPr>
              <w:pStyle w:val="单元格样式4"/>
            </w:pPr>
            <w:r>
              <w:t xml:space="preserve">473.20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473.20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473.20</w:t>
            </w:r>
          </w:p>
        </w:tc>
        <w:tc>
          <w:tcPr>
            <w:tcW w:w="1474" w:type="dxa"/>
            <w:vAlign w:val="center"/>
          </w:tcPr>
          <w:p>
            <w:pPr>
              <w:pStyle w:val="单元格样式7"/>
            </w:pPr>
            <w:r>
              <w:t xml:space="preserve">473.20</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473.20</w:t>
            </w:r>
          </w:p>
        </w:tc>
        <w:tc>
          <w:tcPr>
            <w:tcW w:w="3402" w:type="dxa"/>
            <w:vAlign w:val="center"/>
          </w:tcPr>
          <w:p>
            <w:pPr>
              <w:pStyle w:val="单元格样式6"/>
            </w:pPr>
            <w:r>
              <w:t xml:space="preserve">支出总计</w:t>
            </w:r>
          </w:p>
        </w:tc>
        <w:tc>
          <w:tcPr>
            <w:tcW w:w="1474" w:type="dxa"/>
            <w:vAlign w:val="center"/>
          </w:tcPr>
          <w:p>
            <w:pPr>
              <w:pStyle w:val="单元格样式7"/>
            </w:pPr>
            <w:r>
              <w:t xml:space="preserve">473.20</w:t>
            </w:r>
          </w:p>
        </w:tc>
        <w:tc>
          <w:tcPr>
            <w:tcW w:w="1474" w:type="dxa"/>
            <w:vAlign w:val="center"/>
          </w:tcPr>
          <w:p>
            <w:pPr>
              <w:pStyle w:val="单元格样式7"/>
            </w:pPr>
            <w:r>
              <w:t xml:space="preserve">473.20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473.20</w:t>
            </w:r>
          </w:p>
        </w:tc>
        <w:tc>
          <w:tcPr>
            <w:tcW w:w="2551" w:type="dxa"/>
            <w:vAlign w:val="center"/>
          </w:tcPr>
          <w:p>
            <w:pPr>
              <w:pStyle w:val="单元格样式7"/>
            </w:pPr>
            <w:r>
              <w:t xml:space="preserve">7.20</w:t>
            </w:r>
          </w:p>
        </w:tc>
        <w:tc>
          <w:tcPr>
            <w:tcW w:w="2551" w:type="dxa"/>
            <w:vAlign w:val="center"/>
          </w:tcPr>
          <w:p>
            <w:pPr>
              <w:pStyle w:val="单元格样式7"/>
            </w:pPr>
            <w:r>
              <w:t xml:space="preserve">466.00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7.20</w:t>
            </w:r>
          </w:p>
        </w:tc>
        <w:tc>
          <w:tcPr>
            <w:tcW w:w="2551" w:type="dxa"/>
            <w:vAlign w:val="center"/>
          </w:tcPr>
          <w:p>
            <w:pPr>
              <w:pStyle w:val="单元格样式7"/>
            </w:pPr>
          </w:p>
        </w:tc>
        <w:tc>
          <w:tcPr>
            <w:tcW w:w="2551" w:type="dxa"/>
            <w:vAlign w:val="center"/>
          </w:tcPr>
          <w:p>
            <w:pPr>
              <w:pStyle w:val="单元格样式7"/>
            </w:pPr>
            <w:r>
              <w:t xml:space="preserve">7.20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7.20</w:t>
            </w:r>
          </w:p>
        </w:tc>
        <w:tc>
          <w:tcPr>
            <w:tcW w:w="2551" w:type="dxa"/>
            <w:vAlign w:val="center"/>
          </w:tcPr>
          <w:p>
            <w:pPr>
              <w:pStyle w:val="单元格样式4"/>
            </w:pPr>
          </w:p>
        </w:tc>
        <w:tc>
          <w:tcPr>
            <w:tcW w:w="2551" w:type="dxa"/>
            <w:vAlign w:val="center"/>
          </w:tcPr>
          <w:p>
            <w:pPr>
              <w:pStyle w:val="单元格样式4"/>
            </w:pPr>
            <w:r>
              <w:t xml:space="preserve">7.20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6.90</w:t>
            </w:r>
          </w:p>
        </w:tc>
        <w:tc>
          <w:tcPr>
            <w:tcW w:w="2551" w:type="dxa"/>
            <w:vAlign w:val="center"/>
          </w:tcPr>
          <w:p>
            <w:pPr>
              <w:pStyle w:val="单元格样式4"/>
            </w:pPr>
          </w:p>
        </w:tc>
        <w:tc>
          <w:tcPr>
            <w:tcW w:w="2551" w:type="dxa"/>
            <w:vAlign w:val="center"/>
          </w:tcPr>
          <w:p>
            <w:pPr>
              <w:pStyle w:val="单元格样式4"/>
            </w:pPr>
            <w:r>
              <w:t xml:space="preserve">6.90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0.30</w:t>
            </w:r>
          </w:p>
        </w:tc>
        <w:tc>
          <w:tcPr>
            <w:tcW w:w="2551" w:type="dxa"/>
            <w:vAlign w:val="center"/>
          </w:tcPr>
          <w:p>
            <w:pPr>
              <w:pStyle w:val="单元格样式4"/>
            </w:pPr>
          </w:p>
        </w:tc>
        <w:tc>
          <w:tcPr>
            <w:tcW w:w="2551" w:type="dxa"/>
            <w:vAlign w:val="center"/>
          </w:tcPr>
          <w:p>
            <w:pPr>
              <w:pStyle w:val="单元格样式4"/>
            </w:pPr>
            <w:r>
              <w:t xml:space="preserve">0.30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0"/>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FFFFFF"/>
          <w:sz w:val="21"/>
        </w:rPr>
        <w:t xml:space="preserve">第一部分  河北沧州经济开发区行政审批局2025年部门预算信息公开情况说明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河北沧州经济开发区行政审批局2025年部门预算信息公开情况说明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按照《中华人民共和国预算法》、《地方预决算公开操作规程》和《关于进一步推进预算公开工作的实施意见》规定，现将河北沧州经济开发区行政审批局2025年部门预算公开如下：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本部门负责贯彻落实国家、省、市行政审批制度改革方针政策；负责集中办理市政府委托的行政审批事项；负责推进行政审批、政务服务标准化建设；负责指导公共资源交易市场工作；负责推进全区“互联网+政务服务”和社会信用体系建设工作；负责全区数据工作；负责开发区党工委、管委会交办的其他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河北沧州经济开发区行政审批局本级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按照预算管理有关规定，目前部门预算的编制实行综合预算管理，即全部收入和支出都反映在预算中。河北沧州经济开发区行政审批局机关及所属事业单位的收支包含在部门预算中。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2025年预算收入473.20万元，其中：一般公共预算收入473.20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河北沧州经济开发区行政审批局年度部门预算中支出预算的总体情况。2025年支出预算473.20万元，其中基本支出7.20万元，包括人员经费0.00万元和日常公用经费7.20万元；项目支出466.00万元，主要为无</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2025年预算收支安排473.20万元，较2024年预算减少238.00万元，其中：基本支出增加0.00万元，主要为无项目支出减少238.00万元，主要为无</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2025年，我部门机关运行经费共计安排7.20万元，主要用于日常维修、办公用房水电费、办公用房取暖费、办公用房物业管理费等日常运行支出。</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完成权限范围内的行政许可事项的审批工作；推进行政审批、政务服务标准化建设；推进全区“互联网+政务服务”和社会信用体系建设工作；推进数据基础制度和数组基础设施布局建设。</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1.保障政务服务大厅高效运转，提高行政审批效率，提高群众满意度，提升政务服务水平。</w:t>
      </w:r>
    </w:p>
    <w:p>
      <w:pPr>
        <w:pStyle w:val="插入文本样式-插入职责分类绩效目标文件"/>
      </w:pPr>
      <w:r>
        <w:t xml:space="preserve">2.建设开发区社会信用体系，建立健全信用法规制度和标准体系，治理失信问题。</w:t>
      </w:r>
    </w:p>
    <w:p>
      <w:pPr>
        <w:pStyle w:val="插入文本样式-插入职责分类绩效目标文件"/>
      </w:pPr>
      <w:r>
        <w:t xml:space="preserve">3.协调推进开发区政务服务平台规范化、标准化、集约化建设和互联互通、数据共享。</w:t>
      </w:r>
    </w:p>
    <w:p>
      <w:pPr>
        <w:pStyle w:val="插入文本样式-插入职责分类绩效目标文件"/>
      </w:pPr>
      <w:r>
        <w:t xml:space="preserve">4.建立健全行政审批管理体系，推进减政放权，组织推进行政审批标准化工作，组织全区政务服务管理工作有序、高效运行。</w:t>
      </w:r>
    </w:p>
    <w:p>
      <w:pPr>
        <w:pStyle w:val="插入文本样式-插入职责分类绩效目标文件"/>
      </w:pPr>
      <w:r>
        <w:t xml:space="preserve">5.统筹推进开发区“互联网+政务服务”工作，协调构建一体化政务服务平台。</w:t>
      </w:r>
    </w:p>
    <w:p>
      <w:pPr>
        <w:pStyle w:val="插入文本样式-插入职责分类绩效目标文件"/>
      </w:pPr>
      <w:r>
        <w:t xml:space="preserve">6.对进入大厅的行政审批、政务服务等事项投诉举报的承办、和督办工作，化解风险，提高办事群众满意度。</w:t>
      </w:r>
    </w:p>
    <w:p>
      <w:pPr>
        <w:pStyle w:val="插入文本样式-插入职责分类绩效目标文件"/>
      </w:pPr>
      <w:r>
        <w:t xml:space="preserve">7.不断优化政务服务管理模式，完善政务服务标准化建设。</w:t>
      </w:r>
    </w:p>
    <w:p>
      <w:pPr>
        <w:pStyle w:val="插入文本样式-插入职责分类绩效目标文件"/>
      </w:pPr>
      <w:r>
        <w:t xml:space="preserve">8.推进数据基础制度和数字基础设施布局建设。</w:t>
      </w:r>
    </w:p>
    <w:p>
      <w:pPr>
        <w:pStyle w:val="插入文本样式-插入职责分类绩效目标文件"/>
      </w:pPr>
      <w:r>
        <w:t xml:space="preserve">9.完成党工委、管委会交办的其他工作。</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1.统筹推进全区“互联网+政务服务”工作，协调构建全区一体化政务服务平台，推进政务服务事项网上办理。</w:t>
      </w:r>
    </w:p>
    <w:p>
      <w:pPr>
        <w:pStyle w:val="插入文本样式-插入实现年度发展规划目标的保障措施文件"/>
      </w:pPr>
      <w:r>
        <w:t xml:space="preserve">2.指导协调全区行政审批制度改革，推进简政放权，协调行政审批标准化工作。</w:t>
      </w:r>
    </w:p>
    <w:p>
      <w:pPr>
        <w:pStyle w:val="插入文本样式-插入实现年度发展规划目标的保障措施文件"/>
      </w:pPr>
      <w:r>
        <w:t xml:space="preserve">3.加强政务大厅内部监督，优化政务服务；协调指导政府群众服务热线工作。</w:t>
      </w:r>
    </w:p>
    <w:p>
      <w:pPr>
        <w:pStyle w:val="插入文本样式-插入实现年度发展规划目标的保障措施文件"/>
      </w:pPr>
      <w:r>
        <w:t xml:space="preserve">4.推动全区诚信体系建设工作，实现全区信用信息共享，承担全区诚信体系领导小组安排的各项工作。</w:t>
      </w:r>
    </w:p>
    <w:p>
      <w:pPr>
        <w:pStyle w:val="插入文本样式-插入实现年度发展规划目标的保障措施文件"/>
      </w:pPr>
      <w:r>
        <w:t xml:space="preserve">5.加强人员培训，提高人员业务四肢，优化财政资金配置、提高资金使用效益，促进绩效管理水平提升。</w:t>
      </w:r>
    </w:p>
    <w:p>
      <w:pPr>
        <w:pStyle w:val="插入文本样式-插入实现年度发展规划目标的保障措施文件"/>
        <w:sectPr>
          <w:type w:val="nextPage"/>
          <w:pgSz w:w="16840" w:h="11900" w:orient="landscape"/>
          <w:pgMar w:top="1361" w:right="1020" w:bottom="1361" w:left="1020" w:header="720" w:footer="720" w:gutter="0"/>
          <w:pgBorders/>
        </w:sectPr>
      </w:pPr>
      <w:r>
        <w:t xml:space="preserve">6.完善制度建设，制定合理合规的预算支出管理办法，保障资金支出及时合规的支出，实现既定的预算绩效目标。</w:t>
      </w:r>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1、办公设备购置费绩效目标表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13091125P00526610002R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办公设备购置费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国产安可计算机及外设设备的替换6万元，完善政务大厅各专区建设所需的桌椅及电子设备5万元。2024年未支付部分：按上级要求采购智能印控机6.98万元，政务服务一体机6.02万元，叫号系统、视频会议系统8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1.保障政务服务大厅和审批局办公区工作人员的日常办公桌椅正常可用，保证政务服务大厅及审批局办公区的计算机、扫描仪、档案装订机、打印机等设备正常可用，满足业务办理的配置要求</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完成年度预算资金安排</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保障相关业务、工作等开展的情况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保障相关业务、工作等开展的情况</w:t>
            </w:r>
          </w:p>
        </w:tc>
      </w:tr>
      <w:tr>
        <w:trPr>
          <w:trHeight w:val="397"/>
          <w:jc w:val="center"/>
        </w:trPr>
        <w:tc>
          <w:tcPr>
            <w:tcW w:w="1276" w:type="dxa"/>
            <w:vMerge/>
            <w:vAlign w:val="center"/>
          </w:tcPr>
          <w:p>
            <w:p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业务保障能力提升情况</w:t>
            </w:r>
          </w:p>
        </w:tc>
        <w:tc>
          <w:tcPr>
            <w:tcW w:w="5386" w:type="dxa"/>
            <w:vAlign w:val="center"/>
          </w:tcPr>
          <w:p>
            <w:pPr>
              <w:pStyle w:val="单元格样式2"/>
            </w:pPr>
            <w:r>
              <w:t xml:space="preserve">业务保障能力提升情况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正常运转指标</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服务对象的满意度</w:t>
            </w:r>
          </w:p>
        </w:tc>
      </w:tr>
    </w:tbl>
    <w:p>
      <w:pPr>
        <w:sectPr>
          <w:type w:val="continuous"/>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2、创城经费绩效目标表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13091125P00012810002K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创城经费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政务大厅创城创卫标准化建设和便民服务8万元。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做好新时代精神文明建设，以创建文明城市、卫生城市引领带动精神文明建设各项工作全面提升。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各项任务完成及时率（%）</w:t>
            </w:r>
          </w:p>
        </w:tc>
        <w:tc>
          <w:tcPr>
            <w:tcW w:w="5386" w:type="dxa"/>
            <w:vAlign w:val="center"/>
          </w:tcPr>
          <w:p>
            <w:pPr>
              <w:pStyle w:val="单元格样式2"/>
            </w:pPr>
            <w:r>
              <w:t xml:space="preserve">各项任务完成及时率（%）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各项任务完成及时率（%）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各项工作落实到位率</w:t>
            </w:r>
          </w:p>
        </w:tc>
        <w:tc>
          <w:tcPr>
            <w:tcW w:w="5386" w:type="dxa"/>
            <w:vAlign w:val="center"/>
          </w:tcPr>
          <w:p>
            <w:pPr>
              <w:pStyle w:val="单元格样式2"/>
            </w:pPr>
            <w:r>
              <w:t xml:space="preserve">各项工作落实到位率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各项工作落实到位率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预算执行率</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提升全局财务管理水平</w:t>
            </w:r>
          </w:p>
        </w:tc>
        <w:tc>
          <w:tcPr>
            <w:tcW w:w="5386" w:type="dxa"/>
            <w:vAlign w:val="center"/>
          </w:tcPr>
          <w:p>
            <w:pPr>
              <w:pStyle w:val="单元格样式2"/>
            </w:pPr>
            <w:r>
              <w:t xml:space="preserve">提升全局财务管理水平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提升全局财务管理水平</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业务保障能力</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保障日常办公</w:t>
            </w:r>
          </w:p>
        </w:tc>
        <w:tc>
          <w:tcPr>
            <w:tcW w:w="5386" w:type="dxa"/>
            <w:vAlign w:val="center"/>
          </w:tcPr>
          <w:p>
            <w:pPr>
              <w:pStyle w:val="单元格样式2"/>
            </w:pPr>
            <w:r>
              <w:t xml:space="preserve">保障日常办公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保障日常办公</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3、党建经费绩效目标表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13091125P00012710002X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用于党支部的标准化、规范化建设2万元。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1.提高基层党的执政能力，保持和发展党的先进性。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按照要求和计划完成任务的百分比</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w:t>
            </w:r>
          </w:p>
        </w:tc>
        <w:tc>
          <w:tcPr>
            <w:tcW w:w="5386" w:type="dxa"/>
            <w:vAlign w:val="center"/>
          </w:tcPr>
          <w:p>
            <w:pPr>
              <w:pStyle w:val="单元格样式2"/>
            </w:pPr>
            <w:r>
              <w:t xml:space="preserve">预算</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社会效益指标</w:t>
            </w:r>
          </w:p>
        </w:tc>
        <w:tc>
          <w:tcPr>
            <w:tcW w:w="5386" w:type="dxa"/>
            <w:vAlign w:val="center"/>
          </w:tcPr>
          <w:p>
            <w:pPr>
              <w:pStyle w:val="单元格样式2"/>
            </w:pPr>
            <w:r>
              <w:t xml:space="preserve">社会效益指标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影响着机关作用的发挥和党员队伍在人民群众心中的地位。</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保障服务水平</w:t>
            </w:r>
          </w:p>
        </w:tc>
        <w:tc>
          <w:tcPr>
            <w:tcW w:w="5386" w:type="dxa"/>
            <w:vAlign w:val="center"/>
          </w:tcPr>
          <w:p>
            <w:pPr>
              <w:pStyle w:val="单元格样式2"/>
            </w:pPr>
            <w:r>
              <w:t xml:space="preserve">保障服务水平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保障设备正常运行</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4、机关运行费绩效目标表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13091125P00526310002Q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机关运行费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房租68万元，电费20万元，水费5万元，物业管理费6万元，中央空调使用费20万元；财政专线、环保专线、视频会议专线、网上预约系统、固定电话费共计5万元，日常办公、保洁用品及机关设备维修维护费20万元，扩展档案室建设费6万元。2023年未支付宝丽家具45万元，以上费用为日常运行保障费用。</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保障办公用房及水、电、燃气、暖气的日常供应满足日常运行条件；保障财政、环保专线、网上预约系统、一体化平台可用，满足日常业务审批；保障视频会议专线可用，满足参加省、市政务服务系统会议的条件；保障勘查车日常维修、保养、保险等，满足各业务科室日常外出勘查需求；保障固定电话的日常通讯要求；保障网络、系统、平台因业务调整、系统升级、软件或硬件的升级更新，使局内日常办公和业务审批能正常有序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完成率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完成率</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各项工作完成及时率</w:t>
            </w:r>
          </w:p>
        </w:tc>
        <w:tc>
          <w:tcPr>
            <w:tcW w:w="5386" w:type="dxa"/>
            <w:vAlign w:val="center"/>
          </w:tcPr>
          <w:p>
            <w:pPr>
              <w:pStyle w:val="单元格样式2"/>
            </w:pPr>
            <w:r>
              <w:t xml:space="preserve">各项工作完成及时率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各项工作完成及时率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预算执行率</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提高工作效率</w:t>
            </w:r>
          </w:p>
        </w:tc>
        <w:tc>
          <w:tcPr>
            <w:tcW w:w="5386" w:type="dxa"/>
            <w:vAlign w:val="center"/>
          </w:tcPr>
          <w:p>
            <w:pPr>
              <w:pStyle w:val="单元格样式2"/>
            </w:pPr>
            <w:r>
              <w:t xml:space="preserve">提高工作效率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提高工作效率</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保障机关单位正常运转</w:t>
            </w:r>
          </w:p>
        </w:tc>
        <w:tc>
          <w:tcPr>
            <w:tcW w:w="5386" w:type="dxa"/>
            <w:vAlign w:val="center"/>
          </w:tcPr>
          <w:p>
            <w:pPr>
              <w:pStyle w:val="单元格样式2"/>
            </w:pPr>
            <w:r>
              <w:t xml:space="preserve">保障机关单位正常运转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保障机关单位正常运转</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保障业务工作情况</w:t>
            </w:r>
          </w:p>
        </w:tc>
        <w:tc>
          <w:tcPr>
            <w:tcW w:w="5386" w:type="dxa"/>
            <w:vAlign w:val="center"/>
          </w:tcPr>
          <w:p>
            <w:pPr>
              <w:pStyle w:val="单元格样式2"/>
            </w:pPr>
            <w:r>
              <w:t xml:space="preserve">保障业务工作情况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保障业务工作情况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服务对象的满意度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5、区域环评费绩效目标表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13091125P005267100033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区域环评费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用于涉及区域环评报审的尾款费用，按照合同报告编制完成，通过专家评审并取得书面审查意见后，向第三方公司支付30%的合同款费用5万元。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通过第三方公司向河北省生态环境厅报审开发区区域环评，并取得河北省生态环境厅对开发区产业发展规划环境影响报告书的审查意见。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完成率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完成率</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拨款执行率（%）</w:t>
            </w:r>
          </w:p>
        </w:tc>
        <w:tc>
          <w:tcPr>
            <w:tcW w:w="5386" w:type="dxa"/>
            <w:vAlign w:val="center"/>
          </w:tcPr>
          <w:p>
            <w:pPr>
              <w:pStyle w:val="单元格样式2"/>
            </w:pPr>
            <w:r>
              <w:t xml:space="preserve">拨款执行率（%）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拨款执行率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提高效率</w:t>
            </w:r>
          </w:p>
        </w:tc>
        <w:tc>
          <w:tcPr>
            <w:tcW w:w="5386" w:type="dxa"/>
            <w:vAlign w:val="center"/>
          </w:tcPr>
          <w:p>
            <w:pPr>
              <w:pStyle w:val="单元格样式2"/>
            </w:pPr>
            <w:r>
              <w:t xml:space="preserve">提高效率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提高效率</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保障工作开展</w:t>
            </w:r>
          </w:p>
        </w:tc>
        <w:tc>
          <w:tcPr>
            <w:tcW w:w="5386" w:type="dxa"/>
            <w:vAlign w:val="center"/>
          </w:tcPr>
          <w:p>
            <w:pPr>
              <w:pStyle w:val="单元格样式2"/>
            </w:pPr>
            <w:r>
              <w:t xml:space="preserve">保障工作开展</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保障工作开展</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保障能力提升情况</w:t>
            </w:r>
          </w:p>
        </w:tc>
        <w:tc>
          <w:tcPr>
            <w:tcW w:w="5386" w:type="dxa"/>
            <w:vAlign w:val="center"/>
          </w:tcPr>
          <w:p>
            <w:pPr>
              <w:pStyle w:val="单元格样式2"/>
            </w:pPr>
            <w:r>
              <w:t xml:space="preserve">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保障能力提升情况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6、政务中心运行费绩效目标表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13091125P00003110002B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政务中心运行费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善、升级政务服务大厅标准化建设费用10万元；新开办企业首枚印章刻制补贴费用5万元；承接下放和划转事项网络建设、许可事项纸质证照采购10万元，政务大厅宣传品制作5万元；根据国家、省、市政策持续提升我区营商环境建设费用10万元；2024年新政务大厅装修、LED大屏、监控设备等费用160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善、升级政务服务大厅标准化建设，提高我区政务服务标准化建设水平，优化政务大厅环境，提升办事群众满意度；保证政务服务大厅工作持续、有效的开展；根据国家、省、市政策持续提升我区营商环境建设。</w:t>
            </w:r>
          </w:p>
          <w:p>
            <w:pPr>
              <w:pStyle w:val="单元格样式2"/>
            </w:pP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预算执行</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业务保障能力提升情况</w:t>
            </w:r>
          </w:p>
        </w:tc>
        <w:tc>
          <w:tcPr>
            <w:tcW w:w="5386" w:type="dxa"/>
            <w:vAlign w:val="center"/>
          </w:tcPr>
          <w:p>
            <w:pPr>
              <w:pStyle w:val="单元格样式2"/>
            </w:pPr>
            <w:r>
              <w:t xml:space="preserve">业务保障能力提升情况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业务保障能力提升比率</w:t>
            </w:r>
          </w:p>
        </w:tc>
        <w:tc>
          <w:tcPr>
            <w:tcW w:w="5386" w:type="dxa"/>
            <w:vAlign w:val="center"/>
          </w:tcPr>
          <w:p>
            <w:pPr>
              <w:pStyle w:val="单元格样式2"/>
            </w:pPr>
            <w:r>
              <w:t xml:space="preserve">业务保障能力提升比率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业务保障能力提升比率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正常运转指标</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7、专家费等第三方服务费绩效目标表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13091125P000129100029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专家费等第三方服务费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涉及环境影响评价、排污许可、人防、计量、食品审查等专业的审批事项聘请专家进行专业技术审查的费用，结合往年各专业专家费的实际情况，2025年环评、排污许可、人防、计量、食品审查等专业共10万元。2024年专家费未支付14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根据法定要求，按时完成相关专业审批事项的审批任务，保障涉及环境影响评价、人防、计量、节能审查、食品生产审查等专业的审批事项依法依规进行审批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各项任务完成及时率（%）</w:t>
            </w:r>
          </w:p>
        </w:tc>
        <w:tc>
          <w:tcPr>
            <w:tcW w:w="5386" w:type="dxa"/>
            <w:vAlign w:val="center"/>
          </w:tcPr>
          <w:p>
            <w:pPr>
              <w:pStyle w:val="单元格样式2"/>
            </w:pPr>
            <w:r>
              <w:t xml:space="preserve">各项任务完成及时率（%）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按照要求和计划完成任务的百分比</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完成年度预算资金安排</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提升全局财务管理水平</w:t>
            </w:r>
          </w:p>
        </w:tc>
        <w:tc>
          <w:tcPr>
            <w:tcW w:w="5386" w:type="dxa"/>
            <w:vAlign w:val="center"/>
          </w:tcPr>
          <w:p>
            <w:pPr>
              <w:pStyle w:val="单元格样式2"/>
            </w:pPr>
            <w:r>
              <w:t xml:space="preserve">提升全局财务管理水平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提升全局财务管理水平</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业务保障能力提升比率</w:t>
            </w:r>
          </w:p>
        </w:tc>
        <w:tc>
          <w:tcPr>
            <w:tcW w:w="5386" w:type="dxa"/>
            <w:vAlign w:val="center"/>
          </w:tcPr>
          <w:p>
            <w:pPr>
              <w:pStyle w:val="单元格样式2"/>
            </w:pPr>
            <w:r>
              <w:t xml:space="preserve">业务保障能力提升比率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业务保障能力提升比率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保障日常办公</w:t>
            </w:r>
          </w:p>
        </w:tc>
        <w:tc>
          <w:tcPr>
            <w:tcW w:w="5386" w:type="dxa"/>
            <w:vAlign w:val="center"/>
          </w:tcPr>
          <w:p>
            <w:pPr>
              <w:pStyle w:val="单元格样式2"/>
            </w:pPr>
            <w:r>
              <w:t xml:space="preserve">保障日常办公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保障日常办公</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68.00</w:t>
            </w:r>
          </w:p>
        </w:tc>
        <w:tc>
          <w:tcPr>
            <w:tcW w:w="964" w:type="dxa"/>
            <w:vAlign w:val="center"/>
          </w:tcPr>
          <w:p>
            <w:pPr>
              <w:pStyle w:val="单元格样式7"/>
            </w:pPr>
            <w:r>
              <w:t xml:space="preserve">68.00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68.00</w:t>
            </w:r>
          </w:p>
        </w:tc>
      </w:tr>
      <w:tr>
        <w:trPr>
          <w:cantSplit/>
          <w:trHeight w:hRule="auto" w:val="0"/>
          <w:jc w:val="center"/>
        </w:trPr>
        <w:tc>
          <w:tcPr>
            <w:tcW w:w="1701" w:type="dxa"/>
            <w:vAlign w:val="center"/>
          </w:tcPr>
          <w:p>
            <w:pPr>
              <w:pStyle w:val="单元格样式6"/>
            </w:pPr>
            <w:r>
              <w:t xml:space="preserve">河北沧州经济开发区行政审批局本级小计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68.00</w:t>
            </w:r>
          </w:p>
        </w:tc>
        <w:tc>
          <w:tcPr>
            <w:tcW w:w="964" w:type="dxa"/>
            <w:vAlign w:val="center"/>
          </w:tcPr>
          <w:p>
            <w:pPr>
              <w:pStyle w:val="单元格样式7"/>
            </w:pPr>
            <w:r>
              <w:t xml:space="preserve">68.00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68.00</w:t>
            </w:r>
          </w:p>
        </w:tc>
      </w:tr>
      <w:tr>
        <w:trPr>
          <w:cantSplit/>
          <w:trHeight w:hRule="auto" w:val="0"/>
          <w:jc w:val="center"/>
        </w:trPr>
        <w:tc>
          <w:tcPr>
            <w:tcW w:w="1701" w:type="dxa"/>
            <w:vAlign w:val="center"/>
          </w:tcPr>
          <w:p>
            <w:pPr>
              <w:pStyle w:val="单元格样式2"/>
            </w:pPr>
            <w:r>
              <w:t xml:space="preserve">机关运行费</w:t>
            </w:r>
          </w:p>
        </w:tc>
        <w:tc>
          <w:tcPr>
            <w:tcW w:w="964" w:type="dxa"/>
            <w:vAlign w:val="center"/>
          </w:tcPr>
          <w:p>
            <w:pPr>
              <w:pStyle w:val="单元格样式4"/>
            </w:pPr>
            <w:r>
              <w:t xml:space="preserve">195.00</w:t>
            </w:r>
          </w:p>
        </w:tc>
        <w:tc>
          <w:tcPr>
            <w:tcW w:w="1134" w:type="dxa"/>
            <w:vAlign w:val="center"/>
          </w:tcPr>
          <w:p>
            <w:pPr>
              <w:pStyle w:val="单元格样式2"/>
            </w:pPr>
            <w:r>
              <w:t xml:space="preserve">房屋租赁服务</w:t>
            </w:r>
          </w:p>
        </w:tc>
        <w:tc>
          <w:tcPr>
            <w:tcW w:w="1134" w:type="dxa"/>
            <w:vAlign w:val="center"/>
          </w:tcPr>
          <w:p>
            <w:pPr>
              <w:pStyle w:val="单元格样式2"/>
            </w:pPr>
            <w:r>
              <w:t xml:space="preserve">C21020000</w:t>
            </w:r>
          </w:p>
        </w:tc>
        <w:tc>
          <w:tcPr>
            <w:tcW w:w="709" w:type="dxa"/>
            <w:vAlign w:val="center"/>
          </w:tcPr>
          <w:p>
            <w:pPr>
              <w:pStyle w:val="单元格样式3"/>
            </w:pPr>
            <w:r>
              <w:t xml:space="preserve">万元</w:t>
            </w:r>
          </w:p>
        </w:tc>
        <w:tc>
          <w:tcPr>
            <w:tcW w:w="850" w:type="dxa"/>
            <w:vAlign w:val="center"/>
          </w:tcPr>
          <w:p>
            <w:pPr>
              <w:pStyle w:val="单元格样式4"/>
            </w:pPr>
            <w:r>
              <w:t xml:space="preserve">1</w:t>
            </w:r>
          </w:p>
        </w:tc>
        <w:tc>
          <w:tcPr>
            <w:tcW w:w="850" w:type="dxa"/>
            <w:vAlign w:val="center"/>
          </w:tcPr>
          <w:p>
            <w:pPr>
              <w:pStyle w:val="单元格样式4"/>
            </w:pPr>
            <w:r>
              <w:t xml:space="preserve">68.00</w:t>
            </w:r>
          </w:p>
        </w:tc>
        <w:tc>
          <w:tcPr>
            <w:tcW w:w="964" w:type="dxa"/>
            <w:vAlign w:val="center"/>
          </w:tcPr>
          <w:p>
            <w:pPr>
              <w:pStyle w:val="单元格样式4"/>
            </w:pPr>
            <w:r>
              <w:t xml:space="preserve">68.00</w:t>
            </w:r>
          </w:p>
        </w:tc>
        <w:tc>
          <w:tcPr>
            <w:tcW w:w="964" w:type="dxa"/>
            <w:vAlign w:val="center"/>
          </w:tcPr>
          <w:p>
            <w:pPr>
              <w:pStyle w:val="单元格样式4"/>
            </w:pPr>
            <w:r>
              <w:t xml:space="preserve">68.00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68.00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河北沧州经济开发区行政审批局（含所属单位）上年末固定资产金额为0.00万元（详见下表）。本年度拟购置固定资产总额为0.00万元，已按要求列入政府采购预算，详见政府采购预算表。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712河北沧州经济开发区行政审批局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sectPr>
          <w:type w:val="nextPage"/>
          <w:pgSz w:w="16840" w:h="11900" w:orient="landscape"/>
          <w:pgMar w:top="1361" w:right="1020" w:bottom="1134" w:left="1020" w:header="720" w:footer="720" w:gutter="0"/>
          <w:pgBorders/>
        </w:sectPr>
      </w:pPr>
      <w:r>
        <w:rPr>
          <w:rFonts w:ascii="Times New Roman" w:eastAsia="方正仿宋_GBK" w:hAnsi="Times New Roman" w:cs="Times New Roman"/>
          <w:b w:val="0"/>
          <w:color w:val="000000"/>
          <w:sz w:val="28"/>
        </w:rPr>
        <w:t xml:space="preserve">我部门无其他需要说明的事项。</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type w:val="nextPage"/>
          <w:pgSz w:w="16840" w:h="11900" w:orient="landscape"/>
          <w:pgMar w:top="1361" w:right="1020" w:bottom="1134" w:left="1020" w:header="720" w:footer="720" w:gutter="0"/>
          <w:pgBorders/>
        </w:sectPr>
      </w:pPr>
      <w:r>
        <w:rPr>
          <w:rFonts w:ascii="方正小标宋_GBK" w:eastAsia="方正小标宋_GBK" w:hAnsi="方正小标宋_GBK" w:cs="方正小标宋_GBK"/>
          <w:color w:val="000000"/>
          <w:sz w:val="72"/>
        </w:rPr>
        <w:t xml:space="preserve">第二部分  部门所属单位预算</w:t>
      </w:r>
    </w:p>
    <w:p>
      <w:pPr>
        <w:spacing w:before="0" w:after="0"/>
        <w:ind w:firstLine="0"/>
        <w:jc w:val="center"/>
        <w:outlineLvl w:val="3"/>
      </w:pPr>
      <w:bookmarkStart w:id="20" w:name="_Toc_4_4_0000000021"/>
      <w:r>
        <w:rPr>
          <w:rFonts w:ascii="方正小标宋_GBK" w:eastAsia="方正小标宋_GBK" w:hAnsi="方正小标宋_GBK" w:cs="方正小标宋_GBK"/>
          <w:b w:val="0"/>
          <w:color w:val="000000"/>
          <w:sz w:val="44"/>
        </w:rPr>
        <w:t xml:space="preserve">一、河北沧州经济开发区行政审批局本级收支预算</w:t>
      </w:r>
      <w:bookmarkEnd w:id="2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473.20</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473.20</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473.20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473.20</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473.20</w:t>
            </w:r>
          </w:p>
        </w:tc>
        <w:tc>
          <w:tcPr>
            <w:tcW w:w="4535" w:type="dxa"/>
            <w:vAlign w:val="center"/>
          </w:tcPr>
          <w:p>
            <w:pPr>
              <w:pStyle w:val="单元格样式6"/>
            </w:pPr>
            <w:r>
              <w:t xml:space="preserve">支出总计</w:t>
            </w:r>
          </w:p>
        </w:tc>
        <w:tc>
          <w:tcPr>
            <w:tcW w:w="2126" w:type="dxa"/>
            <w:vAlign w:val="center"/>
          </w:tcPr>
          <w:p>
            <w:pPr>
              <w:pStyle w:val="单元格样式7"/>
            </w:pPr>
            <w:r>
              <w:t xml:space="preserve">473.20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473.20</w:t>
            </w:r>
          </w:p>
        </w:tc>
        <w:tc>
          <w:tcPr>
            <w:tcW w:w="1134" w:type="dxa"/>
            <w:vAlign w:val="center"/>
          </w:tcPr>
          <w:p>
            <w:pPr>
              <w:pStyle w:val="单元格样式7"/>
            </w:pPr>
            <w:r>
              <w:t xml:space="preserve">473.20</w:t>
            </w:r>
          </w:p>
        </w:tc>
        <w:tc>
          <w:tcPr>
            <w:tcW w:w="1134" w:type="dxa"/>
            <w:vAlign w:val="center"/>
          </w:tcPr>
          <w:p>
            <w:pPr>
              <w:pStyle w:val="单元格样式7"/>
            </w:pPr>
            <w:r>
              <w:t xml:space="preserve">473.20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r>
              <w:t xml:space="preserve">473.20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473.20</w:t>
            </w:r>
          </w:p>
        </w:tc>
        <w:tc>
          <w:tcPr>
            <w:tcW w:w="1361" w:type="dxa"/>
            <w:vAlign w:val="center"/>
          </w:tcPr>
          <w:p>
            <w:pPr>
              <w:pStyle w:val="单元格样式7"/>
            </w:pPr>
            <w:r>
              <w:t xml:space="preserve">7.20</w:t>
            </w:r>
          </w:p>
        </w:tc>
        <w:tc>
          <w:tcPr>
            <w:tcW w:w="1361" w:type="dxa"/>
            <w:vAlign w:val="center"/>
          </w:tcPr>
          <w:p>
            <w:pPr>
              <w:pStyle w:val="单元格样式7"/>
            </w:pPr>
            <w:r>
              <w:t xml:space="preserve">466.00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473.20</w:t>
            </w:r>
          </w:p>
        </w:tc>
        <w:tc>
          <w:tcPr>
            <w:tcW w:w="1361" w:type="dxa"/>
            <w:vAlign w:val="center"/>
          </w:tcPr>
          <w:p>
            <w:pPr>
              <w:pStyle w:val="单元格样式4"/>
            </w:pPr>
            <w:r>
              <w:t xml:space="preserve">7.20</w:t>
            </w:r>
          </w:p>
        </w:tc>
        <w:tc>
          <w:tcPr>
            <w:tcW w:w="1361" w:type="dxa"/>
            <w:vAlign w:val="center"/>
          </w:tcPr>
          <w:p>
            <w:pPr>
              <w:pStyle w:val="单元格样式4"/>
            </w:pPr>
            <w:r>
              <w:t xml:space="preserve">466.00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473.20</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473.20</w:t>
            </w:r>
          </w:p>
        </w:tc>
        <w:tc>
          <w:tcPr>
            <w:tcW w:w="1474" w:type="dxa"/>
            <w:vAlign w:val="center"/>
          </w:tcPr>
          <w:p>
            <w:pPr>
              <w:pStyle w:val="单元格样式4"/>
            </w:pPr>
            <w:r>
              <w:t xml:space="preserve">473.20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473.20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473.20</w:t>
            </w:r>
          </w:p>
        </w:tc>
        <w:tc>
          <w:tcPr>
            <w:tcW w:w="1474" w:type="dxa"/>
            <w:vAlign w:val="center"/>
          </w:tcPr>
          <w:p>
            <w:pPr>
              <w:pStyle w:val="单元格样式7"/>
            </w:pPr>
            <w:r>
              <w:t xml:space="preserve">473.20</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473.20</w:t>
            </w:r>
          </w:p>
        </w:tc>
        <w:tc>
          <w:tcPr>
            <w:tcW w:w="3402" w:type="dxa"/>
            <w:vAlign w:val="center"/>
          </w:tcPr>
          <w:p>
            <w:pPr>
              <w:pStyle w:val="单元格样式6"/>
            </w:pPr>
            <w:r>
              <w:t xml:space="preserve">支出总计</w:t>
            </w:r>
          </w:p>
        </w:tc>
        <w:tc>
          <w:tcPr>
            <w:tcW w:w="1474" w:type="dxa"/>
            <w:vAlign w:val="center"/>
          </w:tcPr>
          <w:p>
            <w:pPr>
              <w:pStyle w:val="单元格样式7"/>
            </w:pPr>
            <w:r>
              <w:t xml:space="preserve">473.20</w:t>
            </w:r>
          </w:p>
        </w:tc>
        <w:tc>
          <w:tcPr>
            <w:tcW w:w="1474" w:type="dxa"/>
            <w:vAlign w:val="center"/>
          </w:tcPr>
          <w:p>
            <w:pPr>
              <w:pStyle w:val="单元格样式7"/>
            </w:pPr>
            <w:r>
              <w:t xml:space="preserve">473.20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473.20</w:t>
            </w:r>
          </w:p>
        </w:tc>
        <w:tc>
          <w:tcPr>
            <w:tcW w:w="2551" w:type="dxa"/>
            <w:vAlign w:val="center"/>
          </w:tcPr>
          <w:p>
            <w:pPr>
              <w:pStyle w:val="单元格样式7"/>
            </w:pPr>
            <w:r>
              <w:t xml:space="preserve">7.20</w:t>
            </w:r>
          </w:p>
        </w:tc>
        <w:tc>
          <w:tcPr>
            <w:tcW w:w="2551" w:type="dxa"/>
            <w:vAlign w:val="center"/>
          </w:tcPr>
          <w:p>
            <w:pPr>
              <w:pStyle w:val="单元格样式7"/>
            </w:pPr>
            <w:r>
              <w:t xml:space="preserve">466.00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473.20</w:t>
            </w:r>
          </w:p>
        </w:tc>
        <w:tc>
          <w:tcPr>
            <w:tcW w:w="2551" w:type="dxa"/>
            <w:vAlign w:val="center"/>
          </w:tcPr>
          <w:p>
            <w:pPr>
              <w:pStyle w:val="单元格样式4"/>
            </w:pPr>
            <w:r>
              <w:t xml:space="preserve">7.20</w:t>
            </w:r>
          </w:p>
        </w:tc>
        <w:tc>
          <w:tcPr>
            <w:tcW w:w="2551" w:type="dxa"/>
            <w:vAlign w:val="center"/>
          </w:tcPr>
          <w:p>
            <w:pPr>
              <w:pStyle w:val="单元格样式4"/>
            </w:pPr>
            <w:r>
              <w:t xml:space="preserve">466.00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7.20</w:t>
            </w:r>
          </w:p>
        </w:tc>
        <w:tc>
          <w:tcPr>
            <w:tcW w:w="2551" w:type="dxa"/>
            <w:vAlign w:val="center"/>
          </w:tcPr>
          <w:p>
            <w:pPr>
              <w:pStyle w:val="单元格样式7"/>
            </w:pPr>
          </w:p>
        </w:tc>
        <w:tc>
          <w:tcPr>
            <w:tcW w:w="2551" w:type="dxa"/>
            <w:vAlign w:val="center"/>
          </w:tcPr>
          <w:p>
            <w:pPr>
              <w:pStyle w:val="单元格样式7"/>
            </w:pPr>
            <w:r>
              <w:t xml:space="preserve">7.20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7.20</w:t>
            </w:r>
          </w:p>
        </w:tc>
        <w:tc>
          <w:tcPr>
            <w:tcW w:w="2551" w:type="dxa"/>
            <w:vAlign w:val="center"/>
          </w:tcPr>
          <w:p>
            <w:pPr>
              <w:pStyle w:val="单元格样式4"/>
            </w:pPr>
          </w:p>
        </w:tc>
        <w:tc>
          <w:tcPr>
            <w:tcW w:w="2551" w:type="dxa"/>
            <w:vAlign w:val="center"/>
          </w:tcPr>
          <w:p>
            <w:pPr>
              <w:pStyle w:val="单元格样式4"/>
            </w:pPr>
            <w:r>
              <w:t xml:space="preserve">7.20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6.90</w:t>
            </w:r>
          </w:p>
        </w:tc>
        <w:tc>
          <w:tcPr>
            <w:tcW w:w="2551" w:type="dxa"/>
            <w:vAlign w:val="center"/>
          </w:tcPr>
          <w:p>
            <w:pPr>
              <w:pStyle w:val="单元格样式4"/>
            </w:pPr>
          </w:p>
        </w:tc>
        <w:tc>
          <w:tcPr>
            <w:tcW w:w="2551" w:type="dxa"/>
            <w:vAlign w:val="center"/>
          </w:tcPr>
          <w:p>
            <w:pPr>
              <w:pStyle w:val="单元格样式4"/>
            </w:pPr>
            <w:r>
              <w:t xml:space="preserve">6.90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0.30</w:t>
            </w:r>
          </w:p>
        </w:tc>
        <w:tc>
          <w:tcPr>
            <w:tcW w:w="2551" w:type="dxa"/>
            <w:vAlign w:val="center"/>
          </w:tcPr>
          <w:p>
            <w:pPr>
              <w:pStyle w:val="单元格样式4"/>
            </w:pPr>
          </w:p>
        </w:tc>
        <w:tc>
          <w:tcPr>
            <w:tcW w:w="2551" w:type="dxa"/>
            <w:vAlign w:val="center"/>
          </w:tcPr>
          <w:p>
            <w:pPr>
              <w:pStyle w:val="单元格样式4"/>
            </w:pPr>
            <w:r>
              <w:t xml:space="preserve">0.30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河北沧州经济开发区行政审批局本级2025年单位预算信息公开情况说明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按照《中华人民共和国预算法》、《地方预决算公开操作规程》和《关于进一步推进预算公开工作的实施意见》规定，现将河北沧州经济开发区行政审批局本级2025年单位预算公开如下：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部门负责贯彻落实国家、省、市行政审批制度改革方针政策；负责集中办理市政府委托的行政审批事项；负责推进行政审批、政务服务标准化建设；负责指导公共资源交易市场工作；负责推进全区“互联网+政务服务”和社会信用体系建设工作；负责全区数据工作；负责开发区党工委、管委会交办的其他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河北沧州经济开发区行政审批局本级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473.20万元，其中：一般公共预算收入473.20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河北沧州经济开发区行政审批局本级年度单位预算中支出预算的总体情况。2025年支出预算473.20万元，其中基本支出7.20万元，包括人员经费0.00万元和日常公用经费7.20万元；项目支出466.00万元，主要为无</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2025年预算收支安排473.20万元，较2024年预算减少238.00万元，其中：基本支出增加0.00万元，主要为无项目支出减少238.00万元，主要为无</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2025年，我单位机关运行经费共计安排7.20万元，主要用于日常维修、办公用房水电费、办公用房取暖费、办公用房物业管理费等日常运行支出。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1、办公设备购置费绩效目标表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13091125P00526610002R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办公设备购置费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国产安可计算机及外设设备的替换6万元，完善政务大厅各专区建设所需的桌椅及电子设备5万元。2024年未支付部分：按上级要求采购智能印控机6.98万元，政务服务一体机6.02万元，叫号系统、视频会议系统8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1.保障政务服务大厅和审批局办公区工作人员的日常办公桌椅正常可用，保证政务服务大厅及审批局办公区的计算机、扫描仪、档案装订机、打印机等设备正常可用，满足业务办理的配置要求</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完成年度预算资金安排</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保障相关业务、工作等开展的情况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保障相关业务、工作等开展的情况</w:t>
            </w:r>
          </w:p>
        </w:tc>
      </w:tr>
      <w:tr>
        <w:trPr>
          <w:trHeight w:val="397"/>
          <w:jc w:val="center"/>
        </w:trPr>
        <w:tc>
          <w:tcPr>
            <w:tcW w:w="1276" w:type="dxa"/>
            <w:vMerge/>
            <w:vAlign w:val="center"/>
          </w:tcPr>
          <w:p>
            <w:p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业务保障能力提升情况</w:t>
            </w:r>
          </w:p>
        </w:tc>
        <w:tc>
          <w:tcPr>
            <w:tcW w:w="5386" w:type="dxa"/>
            <w:vAlign w:val="center"/>
          </w:tcPr>
          <w:p>
            <w:pPr>
              <w:pStyle w:val="单元格样式2"/>
            </w:pPr>
            <w:r>
              <w:t xml:space="preserve">业务保障能力提升情况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正常运转指标</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服务对象的满意度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2、创城经费绩效目标表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13091125P00012810002K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创城经费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政务大厅创城创卫标准化建设和便民服务8万元。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做好新时代精神文明建设，以创建文明城市、卫生城市引领带动精神文明建设各项工作全面提升。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各项任务完成及时率（%）</w:t>
            </w:r>
          </w:p>
        </w:tc>
        <w:tc>
          <w:tcPr>
            <w:tcW w:w="5386" w:type="dxa"/>
            <w:vAlign w:val="center"/>
          </w:tcPr>
          <w:p>
            <w:pPr>
              <w:pStyle w:val="单元格样式2"/>
            </w:pPr>
            <w:r>
              <w:t xml:space="preserve">各项任务完成及时率（%）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各项任务完成及时率（%）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各项工作落实到位率</w:t>
            </w:r>
          </w:p>
        </w:tc>
        <w:tc>
          <w:tcPr>
            <w:tcW w:w="5386" w:type="dxa"/>
            <w:vAlign w:val="center"/>
          </w:tcPr>
          <w:p>
            <w:pPr>
              <w:pStyle w:val="单元格样式2"/>
            </w:pPr>
            <w:r>
              <w:t xml:space="preserve">各项工作落实到位率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各项工作落实到位率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预算执行率</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提升全局财务管理水平</w:t>
            </w:r>
          </w:p>
        </w:tc>
        <w:tc>
          <w:tcPr>
            <w:tcW w:w="5386" w:type="dxa"/>
            <w:vAlign w:val="center"/>
          </w:tcPr>
          <w:p>
            <w:pPr>
              <w:pStyle w:val="单元格样式2"/>
            </w:pPr>
            <w:r>
              <w:t xml:space="preserve">提升全局财务管理水平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提升全局财务管理水平</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业务保障能力</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保障日常办公</w:t>
            </w:r>
          </w:p>
        </w:tc>
        <w:tc>
          <w:tcPr>
            <w:tcW w:w="5386" w:type="dxa"/>
            <w:vAlign w:val="center"/>
          </w:tcPr>
          <w:p>
            <w:pPr>
              <w:pStyle w:val="单元格样式2"/>
            </w:pPr>
            <w:r>
              <w:t xml:space="preserve">保障日常办公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保障日常办公</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3、党建经费绩效目标表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13091125P00012710002X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用于党支部的标准化、规范化建设2万元。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1.提高基层党的执政能力，保持和发展党的先进性。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按照要求和计划完成任务的百分比</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w:t>
            </w:r>
          </w:p>
        </w:tc>
        <w:tc>
          <w:tcPr>
            <w:tcW w:w="5386" w:type="dxa"/>
            <w:vAlign w:val="center"/>
          </w:tcPr>
          <w:p>
            <w:pPr>
              <w:pStyle w:val="单元格样式2"/>
            </w:pPr>
            <w:r>
              <w:t xml:space="preserve">预算</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社会效益指标</w:t>
            </w:r>
          </w:p>
        </w:tc>
        <w:tc>
          <w:tcPr>
            <w:tcW w:w="5386" w:type="dxa"/>
            <w:vAlign w:val="center"/>
          </w:tcPr>
          <w:p>
            <w:pPr>
              <w:pStyle w:val="单元格样式2"/>
            </w:pPr>
            <w:r>
              <w:t xml:space="preserve">社会效益指标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影响着机关作用的发挥和党员队伍在人民群众心中的地位。</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保障服务水平</w:t>
            </w:r>
          </w:p>
        </w:tc>
        <w:tc>
          <w:tcPr>
            <w:tcW w:w="5386" w:type="dxa"/>
            <w:vAlign w:val="center"/>
          </w:tcPr>
          <w:p>
            <w:pPr>
              <w:pStyle w:val="单元格样式2"/>
            </w:pPr>
            <w:r>
              <w:t xml:space="preserve">保障服务水平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保障设备正常运行</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4、机关运行费绩效目标表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13091125P00526310002Q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机关运行费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房租68万元，电费20万元，水费5万元，物业管理费6万元，中央空调使用费20万元；财政专线、环保专线、视频会议专线、网上预约系统、固定电话费共计5万元，日常办公、保洁用品及机关设备维修维护费20万元，扩展档案室建设费6万元。2023年未支付宝丽家具45万元，以上费用为日常运行保障费用。</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保障办公用房及水、电、燃气、暖气的日常供应满足日常运行条件；保障财政、环保专线、网上预约系统、一体化平台可用，满足日常业务审批；保障视频会议专线可用，满足参加省、市政务服务系统会议的条件；保障勘查车日常维修、保养、保险等，满足各业务科室日常外出勘查需求；保障固定电话的日常通讯要求；保障网络、系统、平台因业务调整、系统升级、软件或硬件的升级更新，使局内日常办公和业务审批能正常有序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完成率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完成率</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各项工作完成及时率</w:t>
            </w:r>
          </w:p>
        </w:tc>
        <w:tc>
          <w:tcPr>
            <w:tcW w:w="5386" w:type="dxa"/>
            <w:vAlign w:val="center"/>
          </w:tcPr>
          <w:p>
            <w:pPr>
              <w:pStyle w:val="单元格样式2"/>
            </w:pPr>
            <w:r>
              <w:t xml:space="preserve">各项工作完成及时率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各项工作完成及时率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预算执行率</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提高工作效率</w:t>
            </w:r>
          </w:p>
        </w:tc>
        <w:tc>
          <w:tcPr>
            <w:tcW w:w="5386" w:type="dxa"/>
            <w:vAlign w:val="center"/>
          </w:tcPr>
          <w:p>
            <w:pPr>
              <w:pStyle w:val="单元格样式2"/>
            </w:pPr>
            <w:r>
              <w:t xml:space="preserve">提高工作效率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提高工作效率</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保障机关单位正常运转</w:t>
            </w:r>
          </w:p>
        </w:tc>
        <w:tc>
          <w:tcPr>
            <w:tcW w:w="5386" w:type="dxa"/>
            <w:vAlign w:val="center"/>
          </w:tcPr>
          <w:p>
            <w:pPr>
              <w:pStyle w:val="单元格样式2"/>
            </w:pPr>
            <w:r>
              <w:t xml:space="preserve">保障机关单位正常运转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保障机关单位正常运转</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保障业务工作情况</w:t>
            </w:r>
          </w:p>
        </w:tc>
        <w:tc>
          <w:tcPr>
            <w:tcW w:w="5386" w:type="dxa"/>
            <w:vAlign w:val="center"/>
          </w:tcPr>
          <w:p>
            <w:pPr>
              <w:pStyle w:val="单元格样式2"/>
            </w:pPr>
            <w:r>
              <w:t xml:space="preserve">保障业务工作情况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保障业务工作情况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服务对象的满意度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5、区域环评费绩效目标表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13091125P005267100033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区域环评费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用于涉及区域环评报审的尾款费用，按照合同报告编制完成，通过专家评审并取得书面审查意见后，向第三方公司支付30%的合同款费用5万元。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通过第三方公司向河北省生态环境厅报审开发区区域环评，并取得河北省生态环境厅对开发区产业发展规划环境影响报告书的审查意见。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完成率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完成率</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拨款执行率（%）</w:t>
            </w:r>
          </w:p>
        </w:tc>
        <w:tc>
          <w:tcPr>
            <w:tcW w:w="5386" w:type="dxa"/>
            <w:vAlign w:val="center"/>
          </w:tcPr>
          <w:p>
            <w:pPr>
              <w:pStyle w:val="单元格样式2"/>
            </w:pPr>
            <w:r>
              <w:t xml:space="preserve">拨款执行率（%）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拨款执行率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提高效率</w:t>
            </w:r>
          </w:p>
        </w:tc>
        <w:tc>
          <w:tcPr>
            <w:tcW w:w="5386" w:type="dxa"/>
            <w:vAlign w:val="center"/>
          </w:tcPr>
          <w:p>
            <w:pPr>
              <w:pStyle w:val="单元格样式2"/>
            </w:pPr>
            <w:r>
              <w:t xml:space="preserve">提高效率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提高效率</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保障工作开展</w:t>
            </w:r>
          </w:p>
        </w:tc>
        <w:tc>
          <w:tcPr>
            <w:tcW w:w="5386" w:type="dxa"/>
            <w:vAlign w:val="center"/>
          </w:tcPr>
          <w:p>
            <w:pPr>
              <w:pStyle w:val="单元格样式2"/>
            </w:pPr>
            <w:r>
              <w:t xml:space="preserve">保障工作开展</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保障工作开展</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保障能力提升情况</w:t>
            </w:r>
          </w:p>
        </w:tc>
        <w:tc>
          <w:tcPr>
            <w:tcW w:w="5386" w:type="dxa"/>
            <w:vAlign w:val="center"/>
          </w:tcPr>
          <w:p>
            <w:pPr>
              <w:pStyle w:val="单元格样式2"/>
            </w:pPr>
            <w:r>
              <w:t xml:space="preserve">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保障能力提升情况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6、政务中心运行费绩效目标表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13091125P00003110002B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政务中心运行费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善、升级政务服务大厅标准化建设费用10万元；新开办企业首枚印章刻制补贴费用5万元；承接下放和划转事项网络建设、许可事项纸质证照采购10万元，政务大厅宣传品制作5万元；根据国家、省、市政策持续提升我区营商环境建设费用10万元；2024年新政务大厅装修、LED大屏、监控设备等费用160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善、升级政务服务大厅标准化建设，提高我区政务服务标准化建设水平，优化政务大厅环境，提升办事群众满意度；保证政务服务大厅工作持续、有效的开展；根据国家、省、市政策持续提升我区营商环境建设。</w:t>
            </w:r>
          </w:p>
          <w:p>
            <w:pPr>
              <w:pStyle w:val="单元格样式2"/>
            </w:pP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完成及时率</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完成及时率</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预算执行</w:t>
            </w:r>
          </w:p>
        </w:tc>
        <w:tc>
          <w:tcPr>
            <w:tcW w:w="2268" w:type="dxa"/>
            <w:vAlign w:val="center"/>
          </w:tcPr>
          <w:p>
            <w:pPr>
              <w:pStyle w:val="单元格样式2"/>
            </w:pPr>
            <w:r>
              <w:t xml:space="preserve">≥98百分比</w:t>
            </w:r>
          </w:p>
        </w:tc>
        <w:tc>
          <w:tcPr>
            <w:tcW w:w="1276" w:type="dxa"/>
            <w:vAlign w:val="center"/>
          </w:tcPr>
          <w:p>
            <w:pPr>
              <w:pStyle w:val="单元格样式2"/>
            </w:pPr>
            <w:r>
              <w:t xml:space="preserve">预算执行</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业务保障能力提升情况</w:t>
            </w:r>
          </w:p>
        </w:tc>
        <w:tc>
          <w:tcPr>
            <w:tcW w:w="5386" w:type="dxa"/>
            <w:vAlign w:val="center"/>
          </w:tcPr>
          <w:p>
            <w:pPr>
              <w:pStyle w:val="单元格样式2"/>
            </w:pPr>
            <w:r>
              <w:t xml:space="preserve">业务保障能力提升情况</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业务保障能力提升情况</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业务保障能力提升比率</w:t>
            </w:r>
          </w:p>
        </w:tc>
        <w:tc>
          <w:tcPr>
            <w:tcW w:w="5386" w:type="dxa"/>
            <w:vAlign w:val="center"/>
          </w:tcPr>
          <w:p>
            <w:pPr>
              <w:pStyle w:val="单元格样式2"/>
            </w:pPr>
            <w:r>
              <w:t xml:space="preserve">业务保障能力提升比率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业务保障能力提升比率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正常运转指标</w:t>
            </w:r>
          </w:p>
        </w:tc>
        <w:tc>
          <w:tcPr>
            <w:tcW w:w="5386" w:type="dxa"/>
            <w:vAlign w:val="center"/>
          </w:tcPr>
          <w:p>
            <w:pPr>
              <w:pStyle w:val="单元格样式2"/>
            </w:pPr>
            <w:r>
              <w:t xml:space="preserve">正常运转指标</w:t>
            </w:r>
          </w:p>
        </w:tc>
        <w:tc>
          <w:tcPr>
            <w:tcW w:w="2268" w:type="dxa"/>
            <w:vAlign w:val="center"/>
          </w:tcPr>
          <w:p>
            <w:pPr>
              <w:pStyle w:val="单元格样式2"/>
            </w:pPr>
            <w:r>
              <w:t xml:space="preserve">≥98百分比</w:t>
            </w:r>
          </w:p>
        </w:tc>
        <w:tc>
          <w:tcPr>
            <w:tcW w:w="1276" w:type="dxa"/>
            <w:vAlign w:val="center"/>
          </w:tcPr>
          <w:p>
            <w:pPr>
              <w:pStyle w:val="单元格样式2"/>
            </w:pPr>
            <w:r>
              <w:t xml:space="preserve">正常运转指标</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7、专家费等第三方服务费绩效目标表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13091125P000129100029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专家费等第三方服务费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涉及环境影响评价、排污许可、人防、计量、食品审查等专业的审批事项聘请专家进行专业技术审查的费用，结合往年各专业专家费的实际情况，2025年环评、排污许可、人防、计量、食品审查等专业共10万元。2024年专家费未支付14万元。</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0.30</w:t>
            </w:r>
          </w:p>
        </w:tc>
        <w:tc>
          <w:tcPr>
            <w:tcW w:w="2835" w:type="dxa"/>
            <w:vAlign w:val="center"/>
          </w:tcPr>
          <w:p>
            <w:pPr>
              <w:pStyle w:val="单元格样式3"/>
            </w:pPr>
            <w:r>
              <w:t xml:space="preserve">0.30</w:t>
            </w:r>
          </w:p>
        </w:tc>
        <w:tc>
          <w:tcPr>
            <w:tcW w:w="2551" w:type="dxa"/>
            <w:vAlign w:val="center"/>
          </w:tcPr>
          <w:p>
            <w:pPr>
              <w:pStyle w:val="单元格样式3"/>
            </w:pPr>
            <w:r>
              <w:t xml:space="preserve">0.30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 根据法定要求，按时完成相关专业审批事项的审批任务，保障涉及环境影响评价、人防、计量、节能审查、食品生产审查等专业的审批事项依法依规进行审批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各项任务完成及时率（%）</w:t>
            </w:r>
          </w:p>
        </w:tc>
        <w:tc>
          <w:tcPr>
            <w:tcW w:w="5386" w:type="dxa"/>
            <w:vAlign w:val="center"/>
          </w:tcPr>
          <w:p>
            <w:pPr>
              <w:pStyle w:val="单元格样式2"/>
            </w:pPr>
            <w:r>
              <w:t xml:space="preserve">各项任务完成及时率（%）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按照要求和计划完成任务的百分比</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设备正常运转</w:t>
            </w:r>
          </w:p>
        </w:tc>
        <w:tc>
          <w:tcPr>
            <w:tcW w:w="5386" w:type="dxa"/>
            <w:vAlign w:val="center"/>
          </w:tcPr>
          <w:p>
            <w:pPr>
              <w:pStyle w:val="单元格样式2"/>
            </w:pPr>
            <w:r>
              <w:t xml:space="preserve">设备正常运转</w:t>
            </w:r>
          </w:p>
        </w:tc>
        <w:tc>
          <w:tcPr>
            <w:tcW w:w="2268" w:type="dxa"/>
            <w:vAlign w:val="center"/>
          </w:tcPr>
          <w:p>
            <w:pPr>
              <w:pStyle w:val="单元格样式2"/>
            </w:pPr>
            <w:r>
              <w:t xml:space="preserve">≥98百分比</w:t>
            </w:r>
          </w:p>
        </w:tc>
        <w:tc>
          <w:tcPr>
            <w:tcW w:w="1276" w:type="dxa"/>
            <w:vAlign w:val="center"/>
          </w:tcPr>
          <w:p>
            <w:pPr>
              <w:pStyle w:val="单元格样式2"/>
            </w:pPr>
            <w:r>
              <w:t xml:space="preserve">设备正常运转</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w:t>
            </w:r>
          </w:p>
        </w:tc>
        <w:tc>
          <w:tcPr>
            <w:tcW w:w="5386" w:type="dxa"/>
            <w:vAlign w:val="center"/>
          </w:tcPr>
          <w:p>
            <w:pPr>
              <w:pStyle w:val="单元格样式2"/>
            </w:pPr>
            <w:r>
              <w:t xml:space="preserve">完成年度预算资金安排</w:t>
            </w:r>
          </w:p>
        </w:tc>
        <w:tc>
          <w:tcPr>
            <w:tcW w:w="2268" w:type="dxa"/>
            <w:vAlign w:val="center"/>
          </w:tcPr>
          <w:p>
            <w:pPr>
              <w:pStyle w:val="单元格样式2"/>
            </w:pPr>
            <w:r>
              <w:t xml:space="preserve">≥98百分比</w:t>
            </w:r>
          </w:p>
        </w:tc>
        <w:tc>
          <w:tcPr>
            <w:tcW w:w="1276" w:type="dxa"/>
            <w:vAlign w:val="center"/>
          </w:tcPr>
          <w:p>
            <w:pPr>
              <w:pStyle w:val="单元格样式2"/>
            </w:pPr>
            <w:r>
              <w:t xml:space="preserve">完成年度预算资金安排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提升全局财务管理水平</w:t>
            </w:r>
          </w:p>
        </w:tc>
        <w:tc>
          <w:tcPr>
            <w:tcW w:w="5386" w:type="dxa"/>
            <w:vAlign w:val="center"/>
          </w:tcPr>
          <w:p>
            <w:pPr>
              <w:pStyle w:val="单元格样式2"/>
            </w:pPr>
            <w:r>
              <w:t xml:space="preserve">提升全局财务管理水平</w:t>
            </w:r>
          </w:p>
        </w:tc>
        <w:tc>
          <w:tcPr>
            <w:tcW w:w="2268" w:type="dxa"/>
            <w:vAlign w:val="center"/>
          </w:tcPr>
          <w:p>
            <w:pPr>
              <w:pStyle w:val="单元格样式2"/>
            </w:pPr>
            <w:r>
              <w:t xml:space="preserve">≥98百分比</w:t>
            </w:r>
          </w:p>
        </w:tc>
        <w:tc>
          <w:tcPr>
            <w:tcW w:w="1276" w:type="dxa"/>
            <w:vAlign w:val="center"/>
          </w:tcPr>
          <w:p>
            <w:pPr>
              <w:pStyle w:val="单元格样式2"/>
            </w:pPr>
            <w:r>
              <w:t xml:space="preserve">提升全局财务管理水平</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业务保障能力提升比率</w:t>
            </w:r>
          </w:p>
        </w:tc>
        <w:tc>
          <w:tcPr>
            <w:tcW w:w="5386" w:type="dxa"/>
            <w:vAlign w:val="center"/>
          </w:tcPr>
          <w:p>
            <w:pPr>
              <w:pStyle w:val="单元格样式2"/>
            </w:pPr>
            <w:r>
              <w:t xml:space="preserve">业务保障能力提升比率</w:t>
            </w:r>
          </w:p>
        </w:tc>
        <w:tc>
          <w:tcPr>
            <w:tcW w:w="2268" w:type="dxa"/>
            <w:vAlign w:val="center"/>
          </w:tcPr>
          <w:p>
            <w:pPr>
              <w:pStyle w:val="单元格样式2"/>
            </w:pPr>
            <w:r>
              <w:t xml:space="preserve">≥98百分比</w:t>
            </w:r>
          </w:p>
        </w:tc>
        <w:tc>
          <w:tcPr>
            <w:tcW w:w="1276" w:type="dxa"/>
            <w:vAlign w:val="center"/>
          </w:tcPr>
          <w:p>
            <w:pPr>
              <w:pStyle w:val="单元格样式2"/>
            </w:pPr>
            <w:r>
              <w:t xml:space="preserve">业务保障能力提升比率</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保障日常办公</w:t>
            </w:r>
          </w:p>
        </w:tc>
        <w:tc>
          <w:tcPr>
            <w:tcW w:w="5386" w:type="dxa"/>
            <w:vAlign w:val="center"/>
          </w:tcPr>
          <w:p>
            <w:pPr>
              <w:pStyle w:val="单元格样式2"/>
            </w:pPr>
            <w:r>
              <w:t xml:space="preserve">保障日常办公</w:t>
            </w:r>
          </w:p>
        </w:tc>
        <w:tc>
          <w:tcPr>
            <w:tcW w:w="2268" w:type="dxa"/>
            <w:vAlign w:val="center"/>
          </w:tcPr>
          <w:p>
            <w:pPr>
              <w:pStyle w:val="单元格样式2"/>
            </w:pPr>
            <w:r>
              <w:t xml:space="preserve">≥98百分比</w:t>
            </w:r>
          </w:p>
        </w:tc>
        <w:tc>
          <w:tcPr>
            <w:tcW w:w="1276" w:type="dxa"/>
            <w:vAlign w:val="center"/>
          </w:tcPr>
          <w:p>
            <w:pPr>
              <w:pStyle w:val="单元格样式2"/>
            </w:pPr>
            <w:r>
              <w:t xml:space="preserve">保障日常办公</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服务对象满意度</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68.00</w:t>
            </w:r>
          </w:p>
        </w:tc>
        <w:tc>
          <w:tcPr>
            <w:tcW w:w="964" w:type="dxa"/>
            <w:vAlign w:val="center"/>
          </w:tcPr>
          <w:p>
            <w:pPr>
              <w:pStyle w:val="单元格样式7"/>
            </w:pPr>
            <w:r>
              <w:t xml:space="preserve">68.00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68.00</w:t>
            </w:r>
          </w:p>
        </w:tc>
      </w:tr>
      <w:tr>
        <w:trPr>
          <w:cantSplit/>
          <w:trHeight w:hRule="auto" w:val="0"/>
          <w:jc w:val="center"/>
        </w:trPr>
        <w:tc>
          <w:tcPr>
            <w:tcW w:w="1701" w:type="dxa"/>
            <w:vAlign w:val="center"/>
          </w:tcPr>
          <w:p>
            <w:pPr>
              <w:pStyle w:val="单元格样式6"/>
            </w:pPr>
            <w:r>
              <w:t xml:space="preserve">河北沧州经济开发区行政审批局本级小计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68.00</w:t>
            </w:r>
          </w:p>
        </w:tc>
        <w:tc>
          <w:tcPr>
            <w:tcW w:w="964" w:type="dxa"/>
            <w:vAlign w:val="center"/>
          </w:tcPr>
          <w:p>
            <w:pPr>
              <w:pStyle w:val="单元格样式7"/>
            </w:pPr>
            <w:r>
              <w:t xml:space="preserve">68.00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68.00</w:t>
            </w:r>
          </w:p>
        </w:tc>
      </w:tr>
      <w:tr>
        <w:trPr>
          <w:cantSplit/>
          <w:trHeight w:hRule="auto" w:val="0"/>
          <w:jc w:val="center"/>
        </w:trPr>
        <w:tc>
          <w:tcPr>
            <w:tcW w:w="1701" w:type="dxa"/>
            <w:vAlign w:val="center"/>
          </w:tcPr>
          <w:p>
            <w:pPr>
              <w:pStyle w:val="单元格样式2"/>
            </w:pPr>
            <w:r>
              <w:t xml:space="preserve">机关运行费</w:t>
            </w:r>
          </w:p>
        </w:tc>
        <w:tc>
          <w:tcPr>
            <w:tcW w:w="964" w:type="dxa"/>
            <w:vAlign w:val="center"/>
          </w:tcPr>
          <w:p>
            <w:pPr>
              <w:pStyle w:val="单元格样式4"/>
            </w:pPr>
            <w:r>
              <w:t xml:space="preserve">195.00</w:t>
            </w:r>
          </w:p>
        </w:tc>
        <w:tc>
          <w:tcPr>
            <w:tcW w:w="1134" w:type="dxa"/>
            <w:vAlign w:val="center"/>
          </w:tcPr>
          <w:p>
            <w:pPr>
              <w:pStyle w:val="单元格样式2"/>
            </w:pPr>
            <w:r>
              <w:t xml:space="preserve">房屋租赁服务</w:t>
            </w:r>
          </w:p>
        </w:tc>
        <w:tc>
          <w:tcPr>
            <w:tcW w:w="1134" w:type="dxa"/>
            <w:vAlign w:val="center"/>
          </w:tcPr>
          <w:p>
            <w:pPr>
              <w:pStyle w:val="单元格样式2"/>
            </w:pPr>
            <w:r>
              <w:t xml:space="preserve">C21020000</w:t>
            </w:r>
          </w:p>
        </w:tc>
        <w:tc>
          <w:tcPr>
            <w:tcW w:w="709" w:type="dxa"/>
            <w:vAlign w:val="center"/>
          </w:tcPr>
          <w:p>
            <w:pPr>
              <w:pStyle w:val="单元格样式3"/>
            </w:pPr>
            <w:r>
              <w:t xml:space="preserve">万元</w:t>
            </w:r>
          </w:p>
        </w:tc>
        <w:tc>
          <w:tcPr>
            <w:tcW w:w="850" w:type="dxa"/>
            <w:vAlign w:val="center"/>
          </w:tcPr>
          <w:p>
            <w:pPr>
              <w:pStyle w:val="单元格样式4"/>
            </w:pPr>
            <w:r>
              <w:t xml:space="preserve">1</w:t>
            </w:r>
          </w:p>
        </w:tc>
        <w:tc>
          <w:tcPr>
            <w:tcW w:w="850" w:type="dxa"/>
            <w:vAlign w:val="center"/>
          </w:tcPr>
          <w:p>
            <w:pPr>
              <w:pStyle w:val="单元格样式4"/>
            </w:pPr>
            <w:r>
              <w:t xml:space="preserve">68.00</w:t>
            </w:r>
          </w:p>
        </w:tc>
        <w:tc>
          <w:tcPr>
            <w:tcW w:w="964" w:type="dxa"/>
            <w:vAlign w:val="center"/>
          </w:tcPr>
          <w:p>
            <w:pPr>
              <w:pStyle w:val="单元格样式4"/>
            </w:pPr>
            <w:r>
              <w:t xml:space="preserve">68.00</w:t>
            </w:r>
          </w:p>
        </w:tc>
        <w:tc>
          <w:tcPr>
            <w:tcW w:w="964" w:type="dxa"/>
            <w:vAlign w:val="center"/>
          </w:tcPr>
          <w:p>
            <w:pPr>
              <w:pStyle w:val="单元格样式4"/>
            </w:pPr>
            <w:r>
              <w:t xml:space="preserve">68.00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68.00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河北沧州经济开发区行政审批局本级上年末固定资产金额为0.00万元（详见下表）。本年度拟购置固定资产总额为0.00万元，已按要求列入政府采购预算，详见政府采购预算表。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712001河北沧州经济开发区行政审批局本级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50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51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TOC2">
    <w:name w:val="TOC 2"/>
    <w:basedOn w:val="Normal"/>
    <w:qFormat/>
    <w:pPr>
      <w:ind w:left="240"/>
    </w:pPr>
    <w:rPr/>
  </w:style>
  <w:style w:type="paragraph" w:styleId="TOC3">
    <w:name w:val="TOC 3"/>
    <w:basedOn w:val="Normal"/>
    <w:qFormat/>
    <w:pPr>
      <w:ind w:left="480"/>
    </w:pPr>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53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2025-09-15T15:22:39Z</dcterms:created>
  <dcterms:modified xsi:type="dcterms:W3CDTF">2025-09-15T15:22:39Z</dcterms:modified>
</cp:coreProperties>
</file>