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left="0" w:leftChars="0" w:firstLine="0" w:firstLineChars="0"/>
        <w:rPr>
          <w:rFonts w:hint="eastAsia"/>
          <w:color w:val="auto"/>
          <w:lang w:val="en-US" w:eastAsia="zh-CN"/>
        </w:rPr>
      </w:pPr>
      <w:r>
        <w:rPr>
          <w:rFonts w:hint="eastAsia" w:ascii="黑体" w:hAnsi="黑体" w:eastAsia="黑体" w:cs="黑体"/>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具体整改情况表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0"/>
        <w:gridCol w:w="7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trPr>
        <w:tc>
          <w:tcPr>
            <w:tcW w:w="1479" w:type="dxa"/>
            <w:vAlign w:val="center"/>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整改任务</w:t>
            </w:r>
          </w:p>
        </w:tc>
        <w:tc>
          <w:tcPr>
            <w:tcW w:w="780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600" w:firstLineChars="200"/>
              <w:jc w:val="left"/>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color w:val="auto"/>
                <w:sz w:val="30"/>
                <w:szCs w:val="30"/>
                <w:lang w:val="en-US" w:eastAsia="zh-CN"/>
              </w:rPr>
              <w:t>一些地方和部门学习贯彻习近平生态文明思想不深入、不系统，个别领导干部没有深刻领会生态环境保护与经济社会发展的辩证统一关系，对生态环境形势盲目乐观、安于现状，面对生态环境质量只能变好不能变坏的刚性要求，有的部门和县（市、区）认识不足、措施不硬，环境治理工作的标准不高；面对空气质量不降反升的严峻形势，一些部门不能主动想办法、找路径，而是一味强调客观、推卸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79" w:type="dxa"/>
            <w:vAlign w:val="center"/>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责任单位</w:t>
            </w:r>
          </w:p>
        </w:tc>
        <w:tc>
          <w:tcPr>
            <w:tcW w:w="780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600" w:firstLineChars="200"/>
              <w:jc w:val="left"/>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党政办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1479" w:type="dxa"/>
            <w:vAlign w:val="center"/>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整改目标</w:t>
            </w:r>
          </w:p>
        </w:tc>
        <w:tc>
          <w:tcPr>
            <w:tcW w:w="780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600" w:firstLineChars="200"/>
              <w:jc w:val="left"/>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color w:val="000000"/>
                <w:sz w:val="30"/>
                <w:szCs w:val="30"/>
                <w:shd w:val="clear" w:color="auto" w:fill="auto"/>
                <w:lang w:eastAsia="zh-CN"/>
              </w:rPr>
              <w:t>深入贯彻习近平生态文明思想，压实压细各级党委政府生态环境保护责任，思想根源问题全面查找到位，生态环境保护的政治自觉、思想 自觉、行动自觉切实增强。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5" w:hRule="atLeast"/>
        </w:trPr>
        <w:tc>
          <w:tcPr>
            <w:tcW w:w="1479" w:type="dxa"/>
            <w:vAlign w:val="center"/>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整改措施</w:t>
            </w:r>
          </w:p>
        </w:tc>
        <w:tc>
          <w:tcPr>
            <w:tcW w:w="780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600" w:firstLineChars="200"/>
              <w:jc w:val="left"/>
              <w:textAlignment w:val="auto"/>
              <w:rPr>
                <w:rFonts w:hint="eastAsia" w:ascii="仿宋_GB2312" w:hAnsi="仿宋_GB2312" w:eastAsia="仿宋_GB2312" w:cs="仿宋_GB2312"/>
                <w:color w:val="000000"/>
                <w:sz w:val="30"/>
                <w:szCs w:val="30"/>
                <w:shd w:val="clear" w:color="auto" w:fill="auto"/>
                <w:lang w:val="en-US" w:eastAsia="zh-CN"/>
              </w:rPr>
            </w:pPr>
            <w:r>
              <w:rPr>
                <w:rFonts w:hint="eastAsia" w:ascii="仿宋_GB2312" w:hAnsi="仿宋_GB2312" w:eastAsia="仿宋_GB2312" w:cs="仿宋_GB2312"/>
                <w:color w:val="000000"/>
                <w:sz w:val="30"/>
                <w:szCs w:val="30"/>
                <w:shd w:val="clear" w:color="auto" w:fill="auto"/>
                <w:lang w:val="en-US" w:eastAsia="zh-CN"/>
              </w:rPr>
              <w:t>1.加强生态环境保护宣传教育。将学习贯彻习近平生态文明思想作为党  工委理论学习中心组学习的重要内容，每年至少组织1次习近平生态文  明思想专题学习研讨，切实将生态文明建设和生态环境保护纳入工委、 管委重要议事日程，每月至少研究1次。领导干部切实把学习贯彻习近  平生态文明思想作为终身必修课，深刻感悟蕴含的真理力量、实践力量  和人格力量，不断提高政治判断力、政治领悟力、政治执行力，确保始  终保持正确政治方向。</w:t>
            </w:r>
          </w:p>
          <w:p>
            <w:pPr>
              <w:keepNext w:val="0"/>
              <w:keepLines w:val="0"/>
              <w:pageBreakBefore w:val="0"/>
              <w:widowControl w:val="0"/>
              <w:kinsoku/>
              <w:wordWrap/>
              <w:overflowPunct/>
              <w:topLinePunct w:val="0"/>
              <w:autoSpaceDE/>
              <w:autoSpaceDN/>
              <w:bidi w:val="0"/>
              <w:adjustRightInd/>
              <w:snapToGrid/>
              <w:spacing w:line="320" w:lineRule="exact"/>
              <w:ind w:firstLine="600" w:firstLineChars="200"/>
              <w:jc w:val="left"/>
              <w:textAlignment w:val="auto"/>
              <w:rPr>
                <w:rFonts w:hint="eastAsia" w:ascii="仿宋_GB2312" w:hAnsi="仿宋_GB2312" w:eastAsia="仿宋_GB2312" w:cs="仿宋_GB2312"/>
                <w:color w:val="000000"/>
                <w:sz w:val="30"/>
                <w:szCs w:val="30"/>
                <w:shd w:val="clear" w:color="auto" w:fill="auto"/>
                <w:lang w:val="en-US" w:eastAsia="zh-CN"/>
              </w:rPr>
            </w:pPr>
            <w:r>
              <w:rPr>
                <w:rFonts w:hint="eastAsia" w:ascii="仿宋_GB2312" w:hAnsi="仿宋_GB2312" w:eastAsia="仿宋_GB2312" w:cs="仿宋_GB2312"/>
                <w:color w:val="000000"/>
                <w:sz w:val="30"/>
                <w:szCs w:val="30"/>
                <w:shd w:val="clear" w:color="auto" w:fill="auto"/>
                <w:lang w:val="en-US" w:eastAsia="zh-CN"/>
              </w:rPr>
              <w:t>2.严格生态环境保护目标责任考核。强化考核结果运用，将生态优先、 绿色发展成效作为干部任免奖惩的重要依据之一，并与领导班子的优化  调整和干部选拔任用挂钩，鼓励先进、鞭策落后，激励领导干部积极主  动推进生态环境保护工作。</w:t>
            </w:r>
          </w:p>
          <w:p>
            <w:pPr>
              <w:keepNext w:val="0"/>
              <w:keepLines w:val="0"/>
              <w:pageBreakBefore w:val="0"/>
              <w:widowControl w:val="0"/>
              <w:kinsoku/>
              <w:wordWrap/>
              <w:overflowPunct/>
              <w:topLinePunct w:val="0"/>
              <w:autoSpaceDE/>
              <w:autoSpaceDN/>
              <w:bidi w:val="0"/>
              <w:adjustRightInd/>
              <w:snapToGrid/>
              <w:spacing w:line="320" w:lineRule="exact"/>
              <w:ind w:firstLine="600" w:firstLineChars="200"/>
              <w:jc w:val="left"/>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color w:val="000000"/>
                <w:sz w:val="30"/>
                <w:szCs w:val="30"/>
                <w:shd w:val="clear" w:color="auto" w:fill="auto"/>
                <w:lang w:val="en-US" w:eastAsia="zh-CN"/>
              </w:rPr>
              <w:t>3.加强督查督办。压实各部门生态环境保护责任。持续打好污染防治攻 坚战。健全考核问责机制，压实属地和部门责任，强化污染防治措施， 稳步推进环境质量持续改善。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0" w:hRule="atLeast"/>
        </w:trPr>
        <w:tc>
          <w:tcPr>
            <w:tcW w:w="1479" w:type="dxa"/>
            <w:vAlign w:val="center"/>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完成情况</w:t>
            </w:r>
          </w:p>
        </w:tc>
        <w:tc>
          <w:tcPr>
            <w:tcW w:w="780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600" w:firstLineChars="200"/>
              <w:jc w:val="left"/>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color w:val="auto"/>
                <w:sz w:val="30"/>
                <w:szCs w:val="30"/>
                <w:lang w:val="en-US" w:eastAsia="zh-CN"/>
              </w:rPr>
              <w:t xml:space="preserve"> 河北沧州经济开发区深入贯彻习近平生态文明思想，压实压细各部门生态环境保护责任，思想根源问题全面查找到位，生态环境保护的政治自觉、思想自觉、行动自觉切实增强。一是加强生态环境保护宣传教育。将学习贯彻习近平生态文明思想作为党工委理论学习中心组学习的  重要内容；在党工委(扩大)会、专题会多次传达学习上级会议精神，研究我区生态环保工作举措。二是严格生态环境保护目标责任考核。制定了《沧州经济开发区生态环境保护评价办法(试行)》,将生态环保工作纳入职能部门年度考核。三是加强督查督办。将生态环境保护工作纳入区重点事项督办清单，压实部门责任，强化污染防治措施，稳步推 进环境质量持续改善。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479" w:type="dxa"/>
            <w:vAlign w:val="center"/>
          </w:tcPr>
          <w:p>
            <w:pPr>
              <w:jc w:val="center"/>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整改时限</w:t>
            </w:r>
          </w:p>
        </w:tc>
        <w:tc>
          <w:tcPr>
            <w:tcW w:w="780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600" w:firstLineChars="200"/>
              <w:jc w:val="left"/>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立行立改，长期坚持。</w:t>
            </w:r>
            <w:bookmarkStart w:id="0" w:name="_GoBack"/>
            <w:bookmarkEnd w:id="0"/>
          </w:p>
        </w:tc>
      </w:tr>
    </w:tbl>
    <w:p>
      <w:pPr>
        <w:rPr>
          <w:rFonts w:hint="default"/>
          <w:b/>
          <w:bCs/>
          <w:sz w:val="44"/>
          <w:szCs w:val="44"/>
          <w:lang w:val="en-US" w:eastAsia="zh-CN"/>
        </w:rPr>
      </w:pPr>
    </w:p>
    <w:p>
      <w:pPr>
        <w:pStyle w:val="3"/>
        <w:ind w:left="0" w:leftChars="0" w:firstLine="0" w:firstLineChars="0"/>
      </w:pPr>
    </w:p>
    <w:sectPr>
      <w:footerReference r:id="rId3" w:type="default"/>
      <w:pgSz w:w="11906" w:h="16838"/>
      <w:pgMar w:top="1440" w:right="1803" w:bottom="1440" w:left="1803"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- 71 -</w:t>
                          </w:r>
                          <w:r>
                            <w:rPr>
                              <w:rFonts w:hint="eastAsia" w:asciiTheme="minorEastAsia" w:hAnsiTheme="minorEastAsia" w:eastAsiaTheme="minorEastAsia" w:cstheme="minor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- 71 -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iMTFiMjg0NjkwYzc3MGE0NDExOGQwZWQ2NTg5N2IifQ=="/>
  </w:docVars>
  <w:rsids>
    <w:rsidRoot w:val="3A30621F"/>
    <w:rsid w:val="03430863"/>
    <w:rsid w:val="0F1E2D15"/>
    <w:rsid w:val="100F0A8F"/>
    <w:rsid w:val="1A031799"/>
    <w:rsid w:val="1A812BD7"/>
    <w:rsid w:val="1F1703CD"/>
    <w:rsid w:val="255B695D"/>
    <w:rsid w:val="3100078E"/>
    <w:rsid w:val="37FF4536"/>
    <w:rsid w:val="3A30621F"/>
    <w:rsid w:val="3F7F212F"/>
    <w:rsid w:val="45911460"/>
    <w:rsid w:val="47C05C57"/>
    <w:rsid w:val="53A67CC2"/>
    <w:rsid w:val="54866C6B"/>
    <w:rsid w:val="5A1F0816"/>
    <w:rsid w:val="5AB40AF1"/>
    <w:rsid w:val="64A307EF"/>
    <w:rsid w:val="65B84D5A"/>
    <w:rsid w:val="67194D3F"/>
    <w:rsid w:val="69EC374B"/>
    <w:rsid w:val="74696816"/>
    <w:rsid w:val="7F7781D8"/>
    <w:rsid w:val="A7F3CA23"/>
    <w:rsid w:val="D6EFA4C2"/>
    <w:rsid w:val="DCB6C6DB"/>
    <w:rsid w:val="DEEF57AE"/>
    <w:rsid w:val="E38E0EDA"/>
    <w:rsid w:val="FD6F2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jc w:val="left"/>
    </w:pPr>
    <w:rPr>
      <w:rFonts w:ascii="Times New Roman" w:hAnsi="Times New Roman" w:eastAsia="宋体" w:cs="Times New Roman"/>
      <w:color w:val="000000"/>
      <w:kern w:val="0"/>
      <w:sz w:val="24"/>
      <w:szCs w:val="24"/>
      <w:lang w:val="en-US" w:eastAsia="zh-CN" w:bidi="ar-SA"/>
    </w:rPr>
  </w:style>
  <w:style w:type="paragraph" w:styleId="3">
    <w:name w:val="Normal Indent"/>
    <w:basedOn w:val="1"/>
    <w:next w:val="4"/>
    <w:qFormat/>
    <w:uiPriority w:val="0"/>
    <w:pPr>
      <w:ind w:firstLine="420" w:firstLineChars="200"/>
    </w:pPr>
    <w:rPr>
      <w:sz w:val="21"/>
      <w:szCs w:val="24"/>
    </w:rPr>
  </w:style>
  <w:style w:type="paragraph" w:customStyle="1" w:styleId="4">
    <w:name w:val="样式3"/>
    <w:next w:val="1"/>
    <w:qFormat/>
    <w:uiPriority w:val="0"/>
    <w:pPr>
      <w:widowControl w:val="0"/>
      <w:autoSpaceDE w:val="0"/>
      <w:autoSpaceDN w:val="0"/>
      <w:adjustRightInd w:val="0"/>
      <w:spacing w:line="312" w:lineRule="atLeast"/>
      <w:jc w:val="both"/>
    </w:pPr>
    <w:rPr>
      <w:rFonts w:ascii="宋体" w:hAnsi="宋体" w:eastAsia="宋体" w:cs="黑体"/>
      <w:b/>
      <w:spacing w:val="20"/>
      <w:sz w:val="30"/>
      <w:szCs w:val="30"/>
      <w:lang w:val="zh-CN" w:eastAsia="zh-CN" w:bidi="ar-SA"/>
    </w:rPr>
  </w:style>
  <w:style w:type="paragraph" w:styleId="5">
    <w:name w:val="Body Text"/>
    <w:basedOn w:val="1"/>
    <w:next w:val="6"/>
    <w:qFormat/>
    <w:uiPriority w:val="0"/>
    <w:pPr>
      <w:spacing w:after="120"/>
    </w:pPr>
  </w:style>
  <w:style w:type="paragraph" w:styleId="6">
    <w:name w:val="Plain Text"/>
    <w:basedOn w:val="1"/>
    <w:qFormat/>
    <w:uiPriority w:val="0"/>
    <w:pPr>
      <w:widowControl w:val="0"/>
      <w:jc w:val="both"/>
    </w:pPr>
    <w:rPr>
      <w:rFonts w:ascii="宋体" w:hAnsi="Courier New" w:eastAsia="仿宋_GB2312" w:cs="Times New Roman"/>
      <w:kern w:val="2"/>
      <w:sz w:val="32"/>
      <w:szCs w:val="32"/>
      <w:lang w:val="en-US" w:eastAsia="zh-CN" w:bidi="ar-SA"/>
    </w:rPr>
  </w:style>
  <w:style w:type="paragraph" w:styleId="7">
    <w:name w:val="footer"/>
    <w:basedOn w:val="1"/>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8">
    <w:name w:val="Body Text First Indent"/>
    <w:basedOn w:val="5"/>
    <w:qFormat/>
    <w:uiPriority w:val="0"/>
    <w:pPr>
      <w:spacing w:after="0"/>
      <w:ind w:firstLine="420" w:firstLineChars="100"/>
    </w:pPr>
    <w:rPr>
      <w:rFonts w:ascii="Times New Roman" w:hAnsi="Times New Roman" w:eastAsia="仿宋_GB2312" w:cs="Times New Roman"/>
      <w:sz w:val="32"/>
      <w:szCs w:val="20"/>
    </w:rPr>
  </w:style>
  <w:style w:type="paragraph" w:styleId="9">
    <w:name w:val="Body Text First Indent 2"/>
    <w:qFormat/>
    <w:uiPriority w:val="0"/>
    <w:pPr>
      <w:kinsoku w:val="0"/>
      <w:autoSpaceDE w:val="0"/>
      <w:autoSpaceDN w:val="0"/>
      <w:adjustRightInd w:val="0"/>
      <w:snapToGrid w:val="0"/>
      <w:spacing w:line="700" w:lineRule="exact"/>
      <w:ind w:firstLine="480" w:firstLineChars="200"/>
      <w:jc w:val="left"/>
      <w:textAlignment w:val="baseline"/>
    </w:pPr>
    <w:rPr>
      <w:rFonts w:ascii="仿宋_GB2312" w:hAnsi="Arial" w:eastAsia="宋体" w:cs="Arial"/>
      <w:snapToGrid w:val="0"/>
      <w:color w:val="000000"/>
      <w:kern w:val="0"/>
      <w:sz w:val="32"/>
      <w:szCs w:val="21"/>
      <w:lang w:val="en-US" w:eastAsia="zh-CN" w:bidi="ar-SA"/>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able Normal"/>
    <w:semiHidden/>
    <w:unhideWhenUsed/>
    <w:qFormat/>
    <w:uiPriority w:val="0"/>
    <w:pPr>
      <w:spacing w:line="1" w:lineRule="exact"/>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925</Words>
  <Characters>968</Characters>
  <Lines>0</Lines>
  <Paragraphs>0</Paragraphs>
  <TotalTime>39</TotalTime>
  <ScaleCrop>false</ScaleCrop>
  <LinksUpToDate>false</LinksUpToDate>
  <CharactersWithSpaces>970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2023-12-06T10:14:00Z</dcterms:created>
  <dc:creator>赵祥臻</dc:creator>
  <cp:lastModifiedBy>你，过来</cp:lastModifiedBy>
  <cp:lastPrinted>2025-05-29T09:16:00Z</cp:lastPrinted>
  <dcterms:modified xsi:type="dcterms:W3CDTF">2025-10-31T06:49:32Z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59C029DCAFC141E7B0EC2C95566E3A0C</vt:lpwstr>
  </property>
  <property fmtid="{D5CDD505-2E9C-101B-9397-08002B2CF9AE}" pid="4" name="KSOTemplateDocerSaveRecord">
    <vt:lpwstr>eyJoZGlkIjoiZDY2ZjRiMTFkYzU1Yzg1MjJmNmY4MjYzY2EwNTZiNmQiLCJ1c2VySWQiOiIyNDY3OTIwNzIifQ==</vt:lpwstr>
  </property>
</Properties>
</file>