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32216258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107334144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v:textbox>
              </v:shape>
            </w:pict>
          </mc:Fallback>
        </mc:AlternateContent>
      </w:r>
      <w:r>
        <mc:AlternateContent>
          <mc:Choice Requires="wps">
            <w:drawing>
              <wp:anchor distT="0" distB="0" distL="114300" distR="114300" simplePos="0" relativeHeight="322162278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10733445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322162790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107333939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3221626880"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107334041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32216238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107334348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32216248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10733424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河北沧州经济开发区管理委员会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hint="eastAsia" w:ascii="仿宋_GB2312" w:hAnsi="仿宋_GB2312" w:eastAsia="仿宋_GB2312" w:cs="仿宋_GB2312"/>
          <w:sz w:val="24"/>
          <w:szCs w:val="32"/>
        </w:rPr>
      </w:pPr>
      <w:r>
        <w:rPr>
          <w:rFonts w:hint="eastAsia" w:ascii="仿宋_GB2312" w:hAnsi="仿宋_GB2312" w:eastAsia="仿宋_GB2312" w:cs="仿宋_GB2312"/>
          <w:sz w:val="32"/>
          <w:szCs w:val="32"/>
        </w:rPr>
        <w:t>第一部分   部门概况</w:t>
      </w:r>
    </w:p>
    <w:p>
      <w:pPr>
        <w:widowControl/>
        <w:spacing w:after="160" w:line="580" w:lineRule="exact"/>
        <w:ind w:firstLine="1273" w:firstLineChars="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widowControl/>
        <w:spacing w:after="160" w:line="580" w:lineRule="exact"/>
        <w:ind w:firstLine="1273" w:firstLineChars="39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机构设置</w:t>
      </w:r>
    </w:p>
    <w:p>
      <w:pPr>
        <w:widowControl/>
        <w:spacing w:after="16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年部门决算情况说明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五、一般公共预算</w:t>
      </w:r>
      <w:r>
        <w:rPr>
          <w:rFonts w:hint="eastAsia" w:ascii="仿宋_GB2312" w:hAnsi="仿宋_GB2312" w:eastAsia="仿宋_GB2312" w:cs="仿宋_GB2312"/>
          <w:sz w:val="32"/>
          <w:szCs w:val="32"/>
        </w:rPr>
        <w:t>“三公”经费支出决算情况说明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、预算绩效情况说明</w:t>
      </w:r>
    </w:p>
    <w:p>
      <w:pPr>
        <w:widowControl/>
        <w:spacing w:after="160" w:line="580" w:lineRule="exact"/>
        <w:ind w:lef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、其他重要事项的说明</w:t>
      </w:r>
    </w:p>
    <w:p>
      <w:pPr>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第三部分   名词解释</w:t>
      </w:r>
    </w:p>
    <w:p>
      <w:pPr>
        <w:widowControl/>
        <w:spacing w:after="160" w:line="580" w:lineRule="exact"/>
        <w:ind w:firstLine="640" w:firstLineChars="200"/>
        <w:rPr>
          <w:rFonts w:hint="eastAsia" w:ascii="仿宋_GB2312" w:hAnsi="仿宋_GB2312" w:eastAsia="仿宋_GB2312" w:cs="仿宋_GB2312"/>
          <w:sz w:val="20"/>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年度部门决算报表</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一、收入支出决算总表</w:t>
      </w:r>
    </w:p>
    <w:p>
      <w:pPr>
        <w:keepNext w:val="0"/>
        <w:keepLines w:val="0"/>
        <w:widowControl/>
        <w:suppressLineNumbers w:val="0"/>
        <w:spacing w:before="0" w:beforeAutospacing="0" w:after="0" w:afterAutospacing="0"/>
        <w:ind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二、收入决算表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三、支出决算表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四、财政拨款收入支出决算总表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五、一般公共预算财政拨款支出决算表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六、一般公共预算财政拨款基本支出决算表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七、“三公经费”及相关信息统计表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i w:val="0"/>
          <w:caps w:val="0"/>
          <w:color w:val="333333"/>
          <w:spacing w:val="0"/>
          <w:kern w:val="0"/>
          <w:sz w:val="30"/>
          <w:szCs w:val="30"/>
          <w:shd w:val="clear" w:color="auto" w:fill="FFFFFF"/>
          <w:lang w:val="en-US" w:eastAsia="zh-CN" w:bidi="ar"/>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八、政府性基金收支出表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九、国有资本经营预算财政拨款支出决算表</w:t>
      </w:r>
    </w:p>
    <w:p>
      <w:pPr>
        <w:keepNext w:val="0"/>
        <w:keepLines w:val="0"/>
        <w:widowControl/>
        <w:suppressLineNumbers w:val="0"/>
        <w:spacing w:before="0" w:beforeAutospacing="0" w:after="0" w:afterAutospacing="0"/>
        <w:ind w:left="0" w:right="0" w:firstLine="1200" w:firstLineChars="400"/>
        <w:jc w:val="left"/>
        <w:rPr>
          <w:rFonts w:hint="eastAsia" w:ascii="仿宋_GB2312" w:hAnsi="仿宋_GB2312" w:eastAsia="仿宋_GB2312" w:cs="仿宋_GB2312"/>
          <w:sz w:val="30"/>
          <w:szCs w:val="30"/>
        </w:rPr>
      </w:pPr>
    </w:p>
    <w:p>
      <w:pPr>
        <w:widowControl/>
        <w:spacing w:after="160" w:line="580" w:lineRule="exact"/>
        <w:ind w:firstLine="14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322162995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107333734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322163302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107333427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1"/>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both"/>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82813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收支各增加57098万元，增长（下降）220%，</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加大授权支付业务，项目支出全部都使用授权支付。</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82813</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82813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val="0"/>
          <w:bCs w:val="0"/>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w:t>
      </w:r>
      <w:r>
        <w:rPr>
          <w:rFonts w:hint="eastAsia" w:ascii="仿宋_GB2312" w:hAnsi="Times New Roman" w:eastAsia="仿宋_GB2312" w:cs="DengXian-Regular"/>
          <w:sz w:val="32"/>
          <w:szCs w:val="32"/>
          <w:lang w:val="en-US" w:eastAsia="zh-CN"/>
        </w:rPr>
        <w:t>82813</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8990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73823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lang w:val="en-US" w:eastAsia="zh-CN"/>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财政拨款本年收入82813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57098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授权业务增加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82813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57098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授权业务增加项目支出</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具体情况如下：</w:t>
      </w:r>
    </w:p>
    <w:p>
      <w:pPr>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一般公共</w:t>
      </w:r>
      <w:r>
        <w:rPr>
          <w:rFonts w:hint="eastAsia" w:ascii="仿宋_GB2312" w:hAnsi="Times New Roman" w:eastAsia="仿宋_GB2312" w:cs="DengXian-Regular"/>
          <w:sz w:val="32"/>
          <w:szCs w:val="32"/>
        </w:rPr>
        <w:t>预算财政拨款本年收入</w:t>
      </w:r>
      <w:r>
        <w:rPr>
          <w:rFonts w:hint="eastAsia" w:ascii="仿宋_GB2312" w:hAnsi="Times New Roman" w:eastAsia="仿宋_GB2312" w:cs="DengXian-Regular"/>
          <w:sz w:val="32"/>
          <w:szCs w:val="32"/>
          <w:lang w:val="en-US" w:eastAsia="zh-CN"/>
        </w:rPr>
        <w:t>37661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val="en-US" w:eastAsia="zh-CN"/>
        </w:rPr>
        <w:t>加16186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授权支付业务加大</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37661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516186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75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授权业务增加项目支出。</w:t>
      </w:r>
    </w:p>
    <w:p>
      <w:pPr>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Times New Roman" w:eastAsia="楷体_GB2312" w:cs="DengXian-Bold"/>
          <w:b/>
          <w:bCs/>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45152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40912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965</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大部分基金走授权支付</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45152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40912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965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大部分基金走授权支付</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lang w:val="en-US" w:eastAsia="zh-CN"/>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82813万元，完成年初预算的100%,比年初预算持平</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82813万元，完成年初预算的100%,比年初预算持平。</w:t>
      </w:r>
      <w:r>
        <w:rPr>
          <w:rFonts w:hint="eastAsia" w:ascii="仿宋_GB2312" w:hAnsi="Times New Roman" w:eastAsia="仿宋_GB2312" w:cs="DengXian-Regular"/>
          <w:sz w:val="32"/>
          <w:szCs w:val="32"/>
          <w:lang w:eastAsia="zh-CN"/>
        </w:rPr>
        <w:t>具体情况如下：</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一般公共预算财政拨款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比年初预算持平</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比年初预算持平</w:t>
      </w:r>
      <w:r>
        <w:rPr>
          <w:rFonts w:hint="eastAsia" w:ascii="仿宋_GB2312" w:hAnsi="Times New Roman" w:eastAsia="仿宋_GB2312" w:cs="DengXian-Regular"/>
          <w:sz w:val="32"/>
          <w:szCs w:val="32"/>
          <w:lang w:eastAsia="zh-CN"/>
        </w:rPr>
        <w:t>。</w:t>
      </w:r>
    </w:p>
    <w:p>
      <w:pPr>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比年初预算持平</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比年初预算持平</w:t>
      </w:r>
      <w:r>
        <w:rPr>
          <w:rFonts w:hint="eastAsia" w:ascii="仿宋_GB2312" w:hAnsi="Times New Roman" w:eastAsia="仿宋_GB2312" w:cs="DengXian-Regular"/>
          <w:sz w:val="32"/>
          <w:szCs w:val="32"/>
          <w:lang w:eastAsia="zh-CN"/>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年度财政拨款支出82813万元，主要用于以下方面：一般公共服务（类）支出14286万元，占17%，；公共安全类（类）支出428万元，占0.5%；教育（类）支出3234万元，占3.9%；科学技术（类）支出2896万元，占 3.5%；社会保障和就业（类）支出 1365万元，占1.6%；卫生健康（类）支出735万元，占0.9%；节能环保（类）支出3423万元，占4.1%；城乡社区（类）支出50216万元，占61%；农林水（类）支出2912万元，占3.5%；资源勘探信息等（类）支出2242万元，占2.7%；商业服务业等（类）支出335万元，占0.4%；金融（类）支出50万元，占0.06%；住房保障（类）支出646万元，占 0.78%;其他（类）支出1万元，占0.001%。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年度财政拨款基本支出8990万元，其中：人员经费 7753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1237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127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94%,</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8</w:t>
      </w:r>
      <w:r>
        <w:rPr>
          <w:rFonts w:hint="eastAsia" w:ascii="仿宋_GB2312" w:hAnsi="Times New Roman" w:eastAsia="仿宋_GB2312" w:cs="DengXian-Regular"/>
          <w:b w:val="0"/>
          <w:bCs w:val="0"/>
          <w:sz w:val="32"/>
          <w:szCs w:val="32"/>
        </w:rPr>
        <w:t>万元，降低</w:t>
      </w:r>
      <w:r>
        <w:rPr>
          <w:rFonts w:hint="eastAsia" w:ascii="仿宋_GB2312" w:hAnsi="Times New Roman" w:eastAsia="仿宋_GB2312" w:cs="DengXian-Regular"/>
          <w:b w:val="0"/>
          <w:bCs w:val="0"/>
          <w:sz w:val="32"/>
          <w:szCs w:val="32"/>
          <w:lang w:val="en-US" w:eastAsia="zh-CN"/>
        </w:rPr>
        <w:t>5.9</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开源节流</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w:t>
      </w:r>
      <w:r>
        <w:rPr>
          <w:rFonts w:hint="eastAsia" w:ascii="仿宋_GB2312" w:hAnsi="Times New Roman" w:eastAsia="仿宋_GB2312" w:cs="DengXian-Regular"/>
          <w:sz w:val="32"/>
          <w:szCs w:val="32"/>
          <w:lang w:val="en-US" w:eastAsia="zh-CN"/>
        </w:rPr>
        <w:t>81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175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我区调增三公经费年初预算</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15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因公出国（境）费支出较预算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万元，主要</w:t>
      </w:r>
      <w:r>
        <w:rPr>
          <w:rFonts w:hint="eastAsia" w:ascii="仿宋_GB2312" w:hAnsi="Times New Roman" w:eastAsia="仿宋_GB2312" w:cs="DengXian-Regular"/>
          <w:sz w:val="32"/>
          <w:szCs w:val="32"/>
          <w:lang w:eastAsia="zh-CN"/>
        </w:rPr>
        <w:t>是本年度因招商工作需要增加一次出访活动</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25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严格把控公车使用</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年增加</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特殊招商接待任务产生大量租车费用</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主要是本年度未购买公车；</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，主要是本年与上年均未购买公车</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严格把控公车使用</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增加万元，增长</w:t>
      </w:r>
      <w:r>
        <w:rPr>
          <w:rFonts w:hint="eastAsia" w:ascii="仿宋_GB2312" w:hAnsi="Times New Roman" w:eastAsia="仿宋_GB2312" w:cs="DengXian-Regular"/>
          <w:sz w:val="32"/>
          <w:szCs w:val="32"/>
          <w:lang w:val="en-US" w:eastAsia="zh-CN"/>
        </w:rPr>
        <w:t>41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特殊招商接待任务产生大量租车费用。</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87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249</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1980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严格把控接待标准</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59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207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因招商工作需要，我区调增年初预算</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预算绩效管理工作开展情况</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根据预算绩效管理要求，对2019年度一般公共预算项目支出全面开展绩效自评，对资金较大的项目，我区聘请第三方会计机构开展专项资金的绩效评价。</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北汽韩一（沧州）汽车饰件有限公司为重点产业项目、世界</w:t>
      </w:r>
      <w:r>
        <w:rPr>
          <w:rFonts w:hint="eastAsia" w:ascii="仿宋_GB2312" w:hAnsi="仿宋_GB2312" w:eastAsia="仿宋_GB2312" w:cs="仿宋_GB2312"/>
          <w:sz w:val="32"/>
          <w:szCs w:val="32"/>
          <w:lang w:val="en-US" w:eastAsia="zh-CN"/>
        </w:rPr>
        <w:t>500强企业投资项目，属于产业资金扶持对象。2019年，财政局对北汽韩一项目扶持资金4710万元开展绩效评价工作。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沧州现代摩比斯汽车零部件有限公司为重点产业项目、世界</w:t>
      </w:r>
      <w:r>
        <w:rPr>
          <w:rFonts w:hint="eastAsia" w:ascii="仿宋_GB2312" w:hAnsi="仿宋_GB2312" w:eastAsia="仿宋_GB2312" w:cs="仿宋_GB2312"/>
          <w:sz w:val="32"/>
          <w:szCs w:val="32"/>
          <w:lang w:val="en-US" w:eastAsia="zh-CN"/>
        </w:rPr>
        <w:t>500强企业投资项目，属于产业资金扶持对象。2019年，财政局对现代岱摩斯项目扶持资金15650万元开展绩效评价工作。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天华通信科技有限公司</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 w:val="0"/>
          <w:bCs w:val="0"/>
          <w:sz w:val="32"/>
          <w:szCs w:val="32"/>
        </w:rPr>
        <w:t>4G移动通信器材项目</w:t>
      </w:r>
      <w:r>
        <w:rPr>
          <w:rFonts w:hint="eastAsia" w:ascii="仿宋_GB2312" w:hAnsi="仿宋_GB2312" w:eastAsia="仿宋_GB2312" w:cs="仿宋_GB2312"/>
          <w:b w:val="0"/>
          <w:bCs w:val="0"/>
          <w:sz w:val="32"/>
          <w:szCs w:val="32"/>
          <w:lang w:val="en-US" w:eastAsia="zh-CN"/>
        </w:rPr>
        <w:t>是国家技术政策的重点支持领域，属于产业资金扶持项目。2019年，财政局对天华移动项目扶持资金3000万元开展绩效评价工作。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北京现代汽车有限公司沧州分公</w:t>
      </w:r>
      <w:r>
        <w:rPr>
          <w:rFonts w:hint="eastAsia" w:ascii="仿宋_GB2312" w:hAnsi="仿宋_GB2312" w:eastAsia="仿宋_GB2312" w:cs="仿宋_GB2312"/>
          <w:sz w:val="32"/>
          <w:szCs w:val="32"/>
          <w:lang w:val="en-US" w:eastAsia="zh-CN"/>
        </w:rPr>
        <w:t>司</w:t>
      </w:r>
      <w:r>
        <w:rPr>
          <w:rFonts w:hint="eastAsia" w:ascii="仿宋_GB2312" w:hAnsi="仿宋_GB2312" w:eastAsia="仿宋_GB2312" w:cs="仿宋_GB2312"/>
          <w:sz w:val="32"/>
          <w:szCs w:val="32"/>
        </w:rPr>
        <w:t>沧州市政府及沧州经济开发区管委会确定的重点产业、重点项目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属于产业资金扶持项目。2019年，财政局对北京现代项目扶持资金99150万元开展绩效评价工作。</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1237</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8299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87</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以前年度运行费核定不准确，本年度更正，只包括在职人员人头经费</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18955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4022</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980</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13953</w:t>
      </w:r>
      <w:r>
        <w:rPr>
          <w:rFonts w:ascii="仿宋_GB2312" w:hAnsi="仿宋_GB2312" w:eastAsia="仿宋_GB2312" w:cs="仿宋_GB2312"/>
          <w:color w:val="000000"/>
          <w:kern w:val="0"/>
          <w:sz w:val="32"/>
          <w:szCs w:val="32"/>
          <w:lang w:val="en-US" w:eastAsia="zh-CN" w:bidi="ar"/>
        </w:rPr>
        <w:t>万元。</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较上年无变化。</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9辆，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较上年无变化，</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较上年无变化。</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国有资本经营</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公开</w:t>
      </w:r>
      <w:r>
        <w:rPr>
          <w:rFonts w:hint="eastAsia" w:ascii="仿宋_GB2312" w:hAnsi="Times New Roman" w:eastAsia="仿宋_GB2312" w:cs="DengXian-Regular"/>
          <w:sz w:val="32"/>
          <w:szCs w:val="32"/>
          <w:lang w:val="en-US" w:eastAsia="zh-CN"/>
        </w:rPr>
        <w:t>09</w:t>
      </w:r>
      <w:r>
        <w:rPr>
          <w:rFonts w:hint="eastAsia" w:ascii="仿宋_GB2312" w:hAnsi="Times New Roman" w:eastAsia="仿宋_GB2312" w:cs="DengXian-Regular"/>
          <w:sz w:val="32"/>
          <w:szCs w:val="32"/>
        </w:rPr>
        <w:t>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322163404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107333324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1"/>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5"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仿宋_GB2312" w:eastAsia="仿宋_GB2312" w:cs="仿宋_GB2312"/>
          <w:sz w:val="30"/>
          <w:szCs w:val="30"/>
        </w:rPr>
      </w:pP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（一）财政拨款收入：指本年度从省级财政部门取得的财政拨款。</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（二）事业收入：指事业单位开展专业业务活动及辅助活动所取得的收入。如：河北省注册会计师协会、河北省注册资产评估师协会收取的会费收入等。</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（三）其他收入：指除“财政拨款收入”、“上级补助收入”、“事业收入”、“经营收入”、“附属单位上缴收入”以外的各项收入。</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四）用事业基金弥补收支差额：指事业单位在用当年的“财政拨款收入”、“财政拨款结转和结余资金”、“事业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（五）年初结转和结余：指以前年度尚未完成、结转到本年仍按原规定用途继续使用的资金。</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（六）结余分配：指事业单位按照事业单位会计制度的规定从非财政补助结余中分配的事业基金和职工福利基金等。</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（七）年末结转和结余：指本年度或以前年度预算安排、因客观条件发生变化无法按原计划实施，需要延迟到以后年度按有关规定继续使用的资金。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（八）基本支出：指为保障机构正常运转、完成日常工作任务而发生的人员支出和公用支出。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（九）项目支出：指在基本支出之外为完成特定行政任务和事业发展目标所发生的支出。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（含外宾接待）支出。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（十一）其他交通费用：指单位除公务用车运行维护费以外的其他交通费用。主要是机关及参公事业单位发放的公务交通补贴等。</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（十三）财政事务：反映财政事务方面的支出。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（十四）港澳台侨事务：反映港澳台侨事务方面的支出。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（十五）科学技术管理事务：反映各级政府科学技术管理事务方面的支出。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（十六）应用研究：反映在基础研究成果上，针对某一特定的实际目的或目标进行的创造性研究工作的支出。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（十七）技术研究与开发：反映用于技术研究与开发方面的支出。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（十八）社会科学：反映用于社会科学方面的支出。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（十九）行政事业单位离退休：反映用于行政事业单位离退休方面的支出。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（二十）农村综合改革：反映用于农村综合改革方面的支出。</w:t>
      </w:r>
    </w:p>
    <w:p>
      <w:pPr>
        <w:keepNext w:val="0"/>
        <w:keepLines w:val="0"/>
        <w:widowControl/>
        <w:suppressLineNumbers w:val="0"/>
        <w:spacing w:before="0" w:beforeAutospacing="0" w:after="0" w:afterAutospacing="0"/>
        <w:ind w:left="0" w:right="0" w:firstLine="800"/>
        <w:jc w:val="left"/>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333333"/>
          <w:spacing w:val="0"/>
          <w:kern w:val="0"/>
          <w:sz w:val="30"/>
          <w:szCs w:val="30"/>
          <w:shd w:val="clear" w:color="auto" w:fill="FFFFFF"/>
          <w:lang w:val="en-US" w:eastAsia="zh-CN" w:bidi="ar"/>
        </w:rPr>
        <w:t>（二十一）住房改革支出：反映行政事业单位用财政拨款资金和其他资金等安排的住房改革支出。</w:t>
      </w:r>
    </w:p>
    <w:p>
      <w:pPr>
        <w:tabs>
          <w:tab w:val="left" w:pos="235"/>
        </w:tabs>
        <w:bidi w:val="0"/>
        <w:jc w:val="left"/>
        <w:rPr>
          <w:rFonts w:hint="eastAsia"/>
          <w:lang w:val="en-US" w:eastAsia="zh-CN"/>
        </w:rPr>
        <w:sectPr>
          <w:headerReference r:id="rId16"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1760"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553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1"/>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7"/>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691"/>
        <w:gridCol w:w="3474"/>
        <w:gridCol w:w="541"/>
        <w:gridCol w:w="844"/>
      </w:tblGrid>
      <w:tr>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7"/>
        <w:tblW w:w="9580" w:type="dxa"/>
        <w:jc w:val="center"/>
        <w:shd w:val="clear" w:color="auto" w:fill="auto"/>
        <w:tblLayout w:type="autofit"/>
        <w:tblCellMar>
          <w:top w:w="0" w:type="dxa"/>
          <w:left w:w="0" w:type="dxa"/>
          <w:bottom w:w="0" w:type="dxa"/>
          <w:right w:w="0" w:type="dxa"/>
        </w:tblCellMar>
      </w:tblPr>
      <w:tblGrid>
        <w:gridCol w:w="1008"/>
        <w:gridCol w:w="58"/>
        <w:gridCol w:w="58"/>
        <w:gridCol w:w="1455"/>
        <w:gridCol w:w="1000"/>
        <w:gridCol w:w="1000"/>
        <w:gridCol w:w="1000"/>
        <w:gridCol w:w="1000"/>
        <w:gridCol w:w="1000"/>
        <w:gridCol w:w="1000"/>
        <w:gridCol w:w="1001"/>
      </w:tblGrid>
      <w:tr>
        <w:tblPrEx>
          <w:shd w:val="clear" w:color="auto" w:fill="auto"/>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7"/>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7"/>
        <w:tblW w:w="9520" w:type="dxa"/>
        <w:jc w:val="center"/>
        <w:shd w:val="clear" w:color="auto" w:fill="auto"/>
        <w:tblLayout w:type="fixed"/>
        <w:tblCellMar>
          <w:top w:w="0" w:type="dxa"/>
          <w:left w:w="0" w:type="dxa"/>
          <w:bottom w:w="0" w:type="dxa"/>
          <w:right w:w="0" w:type="dxa"/>
        </w:tblCellMar>
      </w:tblPr>
      <w:tblGrid>
        <w:gridCol w:w="2922"/>
        <w:gridCol w:w="425"/>
        <w:gridCol w:w="662"/>
        <w:gridCol w:w="2946"/>
        <w:gridCol w:w="507"/>
        <w:gridCol w:w="414"/>
        <w:gridCol w:w="855"/>
        <w:gridCol w:w="789"/>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7"/>
        <w:tblW w:w="9990" w:type="dxa"/>
        <w:jc w:val="center"/>
        <w:shd w:val="clear" w:color="auto" w:fill="auto"/>
        <w:tblLayout w:type="autofit"/>
        <w:tblCellMar>
          <w:top w:w="0" w:type="dxa"/>
          <w:left w:w="0" w:type="dxa"/>
          <w:bottom w:w="0" w:type="dxa"/>
          <w:right w:w="0" w:type="dxa"/>
        </w:tblCellMar>
      </w:tblPr>
      <w:tblGrid>
        <w:gridCol w:w="1174"/>
        <w:gridCol w:w="67"/>
        <w:gridCol w:w="67"/>
        <w:gridCol w:w="1695"/>
        <w:gridCol w:w="2329"/>
        <w:gridCol w:w="2329"/>
        <w:gridCol w:w="2329"/>
      </w:tblGrid>
      <w:tr>
        <w:tblPrEx>
          <w:shd w:val="clear" w:color="auto" w:fill="auto"/>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7"/>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bl>
    <w:p>
      <w:pPr>
        <w:rPr>
          <w:rFonts w:hint="default"/>
          <w:lang w:val="en-US" w:eastAsia="zh-CN"/>
        </w:rPr>
      </w:pPr>
      <w:r>
        <w:rPr>
          <w:rFonts w:hint="default"/>
          <w:lang w:val="en-US" w:eastAsia="zh-CN"/>
        </w:rPr>
        <w:br w:type="page"/>
      </w:r>
    </w:p>
    <w:tbl>
      <w:tblPr>
        <w:tblStyle w:val="7"/>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7"/>
        <w:tblW w:w="9510" w:type="dxa"/>
        <w:jc w:val="center"/>
        <w:shd w:val="clear" w:color="auto" w:fill="auto"/>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7"/>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322163507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107333222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JvLX90AAAAPAQAADwAAAAAAAAABACAAAAAiAAAAZHJzL2Rvd25yZXYueG1s&#10;UEsBAhQAFAAAAAgAh07iQIMwRq9lAgAAlwQAAA4AAAAAAAAAAQAgAAAALAEAAGRycy9lMm9Eb2Mu&#10;eG1sUEsFBgAAAAAGAAYAWQEAAAMGAAAAAA==&#10;">
                <v:fill on="t" focussize="0,0"/>
                <v:stroke on="f" weight="1pt" miterlimit="8" joinstyle="miter"/>
                <v:imagedata o:title=""/>
                <o:lock v:ext="edit" aspectratio="f"/>
                <v:textbox>
                  <w:txbxContent>
                    <w:p>
                      <w:pPr>
                        <w:jc w:val="center"/>
                      </w:pPr>
                    </w:p>
                  </w:txbxContent>
                </v:textbox>
              </v:rect>
            </w:pict>
          </mc:Fallback>
        </mc:AlternateContent>
      </w:r>
    </w:p>
    <w:sectPr>
      <w:headerReference r:id="rId18" w:type="first"/>
      <w:headerReference r:id="rId17" w:type="default"/>
      <w:footerReference r:id="rId19"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altName w:val="MS UI Gothic"/>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Cambria">
    <w:altName w:val="Shruti"/>
    <w:panose1 w:val="02040503050406030204"/>
    <w:charset w:val="00"/>
    <w:family w:val="roman"/>
    <w:pitch w:val="default"/>
    <w:sig w:usb0="00000000" w:usb1="00000000"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Batang"/>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A00002BF" w:usb1="68C7FCFB" w:usb2="00000010" w:usb3="00000000" w:csb0="4002009F" w:csb1="DFD70000"/>
  </w:font>
  <w:font w:name="仿宋">
    <w:altName w:val="微软雅黑"/>
    <w:panose1 w:val="02010609060101010101"/>
    <w:charset w:val="86"/>
    <w:family w:val="auto"/>
    <w:pitch w:val="default"/>
    <w:sig w:usb0="00000000" w:usb1="00000000" w:usb2="00000016" w:usb3="00000000" w:csb0="00040001" w:csb1="00000000"/>
  </w:font>
  <w:font w:name="Shruti">
    <w:panose1 w:val="02000500000000000000"/>
    <w:charset w:val="00"/>
    <w:family w:val="auto"/>
    <w:pitch w:val="default"/>
    <w:sig w:usb0="0004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B625D"/>
    <w:multiLevelType w:val="singleLevel"/>
    <w:tmpl w:val="24CB625D"/>
    <w:lvl w:ilvl="0" w:tentative="0">
      <w:start w:val="1"/>
      <w:numFmt w:val="decimal"/>
      <w:suff w:val="nothing"/>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78C1413D"/>
    <w:multiLevelType w:val="singleLevel"/>
    <w:tmpl w:val="78C1413D"/>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31C2036A"/>
    <w:rsid w:val="320D02A5"/>
    <w:rsid w:val="348E566F"/>
    <w:rsid w:val="36A954CD"/>
    <w:rsid w:val="3A226944"/>
    <w:rsid w:val="3AEE6A48"/>
    <w:rsid w:val="3C1620AA"/>
    <w:rsid w:val="3D8F080F"/>
    <w:rsid w:val="41D14612"/>
    <w:rsid w:val="44CE1FA4"/>
    <w:rsid w:val="487F73ED"/>
    <w:rsid w:val="4A347EAE"/>
    <w:rsid w:val="52600405"/>
    <w:rsid w:val="529B4319"/>
    <w:rsid w:val="57773DD6"/>
    <w:rsid w:val="578B79AB"/>
    <w:rsid w:val="5CCD3FD5"/>
    <w:rsid w:val="61FA5F9D"/>
    <w:rsid w:val="64CD6910"/>
    <w:rsid w:val="66505D90"/>
    <w:rsid w:val="66846D2C"/>
    <w:rsid w:val="6789158D"/>
    <w:rsid w:val="67D81BA4"/>
    <w:rsid w:val="6AAF1C96"/>
    <w:rsid w:val="745E2E9B"/>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仿宋_GB2312" w:hAnsi="仿宋_GB2312" w:eastAsia="仿宋_GB2312" w:cs="仿宋_GB2312"/>
      <w:sz w:val="32"/>
      <w:szCs w:val="32"/>
      <w:lang w:val="zh-CN" w:eastAsia="zh-CN" w:bidi="zh-CN"/>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heme="minorAscii" w:hAnsiTheme="minorAscii" w:eastAsiaTheme="minorEastAsia"/>
      <w:sz w:val="18"/>
      <w:szCs w:val="18"/>
    </w:rPr>
  </w:style>
  <w:style w:type="character" w:customStyle="1" w:styleId="11">
    <w:name w:val="页脚 字符"/>
    <w:basedOn w:val="9"/>
    <w:link w:val="5"/>
    <w:qFormat/>
    <w:uiPriority w:val="99"/>
    <w:rPr>
      <w:sz w:val="18"/>
      <w:szCs w:val="18"/>
    </w:rPr>
  </w:style>
  <w:style w:type="paragraph" w:customStyle="1" w:styleId="12">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bmp"/><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3</TotalTime>
  <ScaleCrop>false</ScaleCrop>
  <LinksUpToDate>false</LinksUpToDate>
  <CharactersWithSpaces>9394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等等</cp:lastModifiedBy>
  <cp:lastPrinted>2020-07-30T02:37:00Z</cp:lastPrinted>
  <dcterms:modified xsi:type="dcterms:W3CDTF">2020-09-01T07:54:41Z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