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23</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23</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24</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一、河北沧州经济开发区行政审批局本级收支预算</w:t>
        </w:r>
        <w:r>
          <w:tab/>
        </w:r>
        <w:r>
          <w:fldChar w:fldCharType="begin"/>
        </w:r>
        <w:r>
          <w:instrText xml:space="preserve">PAGEREF _Toc_4_4_0000000021 \h</w:instrText>
        </w:r>
        <w:r>
          <w:fldChar w:fldCharType="separate"/>
        </w:r>
        <w:r>
          <w:t xml:space="preserve">27</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473.20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473.20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473.20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473.20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473.20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473.20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473.20</w:t>
            </w:r>
          </w:p>
        </w:tc>
        <w:tc>
          <w:tcPr>
            <w:tcW w:w="1134" w:type="dxa"/>
            <w:vAlign w:val="center"/>
          </w:tcPr>
          <w:p>
            <w:pPr>
              <w:pStyle w:val="单元格样式7"/>
            </w:pPr>
            <w:r>
              <w:t xml:space="preserve">473.20</w:t>
            </w:r>
          </w:p>
        </w:tc>
        <w:tc>
          <w:tcPr>
            <w:tcW w:w="1134" w:type="dxa"/>
            <w:vAlign w:val="center"/>
          </w:tcPr>
          <w:p>
            <w:pPr>
              <w:pStyle w:val="单元格样式7"/>
            </w:pPr>
            <w:r>
              <w:t xml:space="preserve">473.20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473.20</w:t>
            </w:r>
          </w:p>
        </w:tc>
        <w:tc>
          <w:tcPr>
            <w:tcW w:w="1361" w:type="dxa"/>
            <w:vAlign w:val="center"/>
          </w:tcPr>
          <w:p>
            <w:pPr>
              <w:pStyle w:val="单元格样式7"/>
            </w:pPr>
            <w:r>
              <w:t xml:space="preserve">7.20</w:t>
            </w:r>
          </w:p>
        </w:tc>
        <w:tc>
          <w:tcPr>
            <w:tcW w:w="1361" w:type="dxa"/>
            <w:vAlign w:val="center"/>
          </w:tcPr>
          <w:p>
            <w:pPr>
              <w:pStyle w:val="单元格样式7"/>
            </w:pPr>
            <w:r>
              <w:t xml:space="preserve">466.00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473.20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473.20</w:t>
            </w:r>
          </w:p>
        </w:tc>
        <w:tc>
          <w:tcPr>
            <w:tcW w:w="1474" w:type="dxa"/>
            <w:vAlign w:val="center"/>
          </w:tcPr>
          <w:p>
            <w:pPr>
              <w:pStyle w:val="单元格样式4"/>
            </w:pPr>
            <w:r>
              <w:t xml:space="preserve">473.20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473.20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473.20</w:t>
            </w:r>
          </w:p>
        </w:tc>
        <w:tc>
          <w:tcPr>
            <w:tcW w:w="1474" w:type="dxa"/>
            <w:vAlign w:val="center"/>
          </w:tcPr>
          <w:p>
            <w:pPr>
              <w:pStyle w:val="单元格样式7"/>
            </w:pPr>
            <w:r>
              <w:t xml:space="preserve">473.20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473.20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473.20</w:t>
            </w:r>
          </w:p>
        </w:tc>
        <w:tc>
          <w:tcPr>
            <w:tcW w:w="1474" w:type="dxa"/>
            <w:vAlign w:val="center"/>
          </w:tcPr>
          <w:p>
            <w:pPr>
              <w:pStyle w:val="单元格样式7"/>
            </w:pPr>
            <w:r>
              <w:t xml:space="preserve">473.20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473.20</w:t>
            </w:r>
          </w:p>
        </w:tc>
        <w:tc>
          <w:tcPr>
            <w:tcW w:w="2551" w:type="dxa"/>
            <w:vAlign w:val="center"/>
          </w:tcPr>
          <w:p>
            <w:pPr>
              <w:pStyle w:val="单元格样式7"/>
            </w:pPr>
            <w:r>
              <w:t xml:space="preserve">7.20</w:t>
            </w:r>
          </w:p>
        </w:tc>
        <w:tc>
          <w:tcPr>
            <w:tcW w:w="2551" w:type="dxa"/>
            <w:vAlign w:val="center"/>
          </w:tcPr>
          <w:p>
            <w:pPr>
              <w:pStyle w:val="单元格样式7"/>
            </w:pPr>
            <w:r>
              <w:t xml:space="preserve">466.00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7.20</w:t>
            </w:r>
          </w:p>
        </w:tc>
        <w:tc>
          <w:tcPr>
            <w:tcW w:w="2551" w:type="dxa"/>
            <w:vAlign w:val="center"/>
          </w:tcPr>
          <w:p>
            <w:pPr>
              <w:pStyle w:val="单元格样式7"/>
            </w:pPr>
          </w:p>
        </w:tc>
        <w:tc>
          <w:tcPr>
            <w:tcW w:w="2551" w:type="dxa"/>
            <w:vAlign w:val="center"/>
          </w:tcPr>
          <w:p>
            <w:pPr>
              <w:pStyle w:val="单元格样式7"/>
            </w:pPr>
            <w:r>
              <w:t xml:space="preserve">7.20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6.90</w:t>
            </w:r>
          </w:p>
        </w:tc>
        <w:tc>
          <w:tcPr>
            <w:tcW w:w="2551" w:type="dxa"/>
            <w:vAlign w:val="center"/>
          </w:tcPr>
          <w:p>
            <w:pPr>
              <w:pStyle w:val="单元格样式4"/>
            </w:pPr>
          </w:p>
        </w:tc>
        <w:tc>
          <w:tcPr>
            <w:tcW w:w="2551" w:type="dxa"/>
            <w:vAlign w:val="center"/>
          </w:tcPr>
          <w:p>
            <w:pPr>
              <w:pStyle w:val="单元格样式4"/>
            </w:pPr>
            <w:r>
              <w:t xml:space="preserve">6.90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河北沧州经济开发区行政审批局2025年部门预算信息公开情况说明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河北沧州经济开发区行政审批局2025年部门预算信息公开情况说明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按照《中华人民共和国预算法》、《地方预决算公开操作规程》和《关于进一步推进预算公开工作的实施意见》规定，现将河北沧州经济开发区行政审批局2025年部门预算公开如下：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河北沧州经济开发区行政审批局本级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13091125P00526610002R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国产安可计算机及外设设备的替换6万元，完善政务大厅各专区建设所需的桌椅及电子设备5万元。2024年未支付部分：按上级要求采购智能印控机6.98万元，政务服务一体机6.02万元，叫号系统、视频会议系统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1.保障政务服务大厅和审批局办公区工作人员的日常办公桌椅正常可用，保证政务服务大厅及审批局办公区的计算机、扫描仪、档案装订机、打印机等设备正常可用，满足业务办理的配置要求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完成年度预算资金安排</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保障相关业务、工作等开展的情况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保障相关业务、工作等开展的情况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服务对象的满意度</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2、创城经费绩效目标表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13091125P00012810002K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创城经费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政务大厅创城创卫标准化建设和便民服务8万元。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做好新时代精神文明建设，以创建文明城市、卫生城市引领带动精神文明建设各项工作全面提升。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各项任务完成及时率（%）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vAlign w:val="center"/>
          </w:tcPr>
          <w:p>
            <w:pPr>
              <w:pStyle w:val="单元格样式2"/>
            </w:pPr>
            <w:r>
              <w:t xml:space="preserve">各项工作落实到位率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vAlign w:val="center"/>
          </w:tcPr>
          <w:p>
            <w:pPr>
              <w:pStyle w:val="单元格样式2"/>
            </w:pPr>
            <w:r>
              <w:t xml:space="preserve">提升全局财务管理水平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13091125P00012710002X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用于党支部的标准化、规范化建设2万元。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1.提高基层党的执政能力，保持和发展党的先进性。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按照要求和计划完成任务的百分比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社会效益指标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影响着机关作用的发挥和党员队伍在人民群众心中的地位。</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4、机关运行费绩效目标表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13091125P00526310002Q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房租68万元，电费20万元，水费5万元，物业管理费6万元，中央空调使用费20万元；财政专线、环保专线、视频会议专线、网上预约系统、固定电话费共计5万元，日常办公、保洁用品及机关设备维修维护费20万元，扩展档案室建设费6万元。2023年未支付宝丽家具45万元，以上费用为日常运行保障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办公用房及水、电、燃气、暖气的日常供应满足日常运行条件；保障财政、环保专线、网上预约系统、一体化平台可用，满足日常业务审批；保障视频会议专线可用，满足参加省、市政务服务系统会议的条件；保障勘查车日常维修、保养、保险等，满足各业务科室日常外出勘查需求；保障固定电话的日常通讯要求；保障网络、系统、平台因业务调整、系统升级、软件或硬件的升级更新，使局内日常办公和业务审批能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vAlign w:val="center"/>
          </w:tcPr>
          <w:p>
            <w:pPr>
              <w:pStyle w:val="单元格样式2"/>
            </w:pPr>
            <w:r>
              <w:t xml:space="preserve">保障机关单位正常运转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vAlign w:val="center"/>
          </w:tcPr>
          <w:p>
            <w:pPr>
              <w:pStyle w:val="单元格样式2"/>
            </w:pPr>
            <w:r>
              <w:t xml:space="preserve">保障业务工作情况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保障业务工作情况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5、区域环评费绩效目标表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13091125P005267100033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区域环评费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用于涉及区域环评报审的尾款费用，按照合同报告编制完成，通过专家评审并取得书面审查意见后，向第三方公司支付30%的合同款费用5万元。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通过第三方公司向河北省生态环境厅报审开发区区域环评，并取得河北省生态环境厅对开发区产业发展规划环境影响报告书的审查意见。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拨款执行率（%）</w:t>
            </w:r>
          </w:p>
        </w:tc>
        <w:tc>
          <w:tcPr>
            <w:tcW w:w="5386" w:type="dxa"/>
            <w:vAlign w:val="center"/>
          </w:tcPr>
          <w:p>
            <w:pPr>
              <w:pStyle w:val="单元格样式2"/>
            </w:pPr>
            <w:r>
              <w:t xml:space="preserve">拨款执行率（%）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拨款执行率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保障工作开展</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保障工作开展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保障能力提升情况</w:t>
            </w:r>
          </w:p>
        </w:tc>
        <w:tc>
          <w:tcPr>
            <w:tcW w:w="5386" w:type="dxa"/>
            <w:vAlign w:val="center"/>
          </w:tcPr>
          <w:p>
            <w:pPr>
              <w:pStyle w:val="单元格样式2"/>
            </w:pPr>
            <w:r>
              <w:t xml:space="preserve">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保障能力提升情况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6、政务中心运行费绩效目标表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13091125P00003110002B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政务中心运行费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善、升级政务服务大厅标准化建设费用10万元；新开办企业首枚印章刻制补贴费用5万元；承接下放和划转事项网络建设、许可事项纸质证照采购10万元，政务大厅宣传品制作5万元；根据国家、省、市政策持续提升我区营商环境建设费用10万元；2024年新政务大厅装修、LED大屏、监控设备等费用160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升级政务服务大厅标准化建设，提高我区政务服务标准化建设水平，优化政务大厅环境，提升办事群众满意度；保证政务服务大厅工作持续、有效的开展；根据国家、省、市政策持续提升我区营商环境建设。</w:t>
            </w:r>
          </w:p>
          <w:p>
            <w:pPr>
              <w:pStyle w:val="单元格样式2"/>
            </w:pP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预算执行</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业务保障能力提升比率</w:t>
            </w:r>
          </w:p>
        </w:tc>
        <w:tc>
          <w:tcPr>
            <w:tcW w:w="5386" w:type="dxa"/>
            <w:vAlign w:val="center"/>
          </w:tcPr>
          <w:p>
            <w:pPr>
              <w:pStyle w:val="单元格样式2"/>
            </w:pPr>
            <w:r>
              <w:t xml:space="preserve">业务保障能力提升比率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业务保障能力提升比率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7、专家费等第三方服务费绩效目标表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13091125P000129100029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专家费等第三方服务费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涉及环境影响评价、排污许可、人防、计量、食品审查等专业的审批事项聘请专家进行专业技术审查的费用，结合往年各专业专家费的实际情况，2025年环评、排污许可、人防、计量、食品审查等专业共10万元。2024年专家费未支付14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根据法定要求，按时完成相关专业审批事项的审批任务，保障涉及环境影响评价、人防、计量、节能审查、食品生产审查等专业的审批事项依法依规进行审批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按照要求和计划完成任务的百分比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完成年度预算资金安排</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vAlign w:val="center"/>
          </w:tcPr>
          <w:p>
            <w:pPr>
              <w:pStyle w:val="单元格样式2"/>
            </w:pPr>
            <w:r>
              <w:t xml:space="preserve">提升全局财务管理水平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业务保障能力提升比率</w:t>
            </w:r>
          </w:p>
        </w:tc>
        <w:tc>
          <w:tcPr>
            <w:tcW w:w="5386" w:type="dxa"/>
            <w:vAlign w:val="center"/>
          </w:tcPr>
          <w:p>
            <w:pPr>
              <w:pStyle w:val="单元格样式2"/>
            </w:pPr>
            <w:r>
              <w:t xml:space="preserve">业务保障能力提升比率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业务保障能力提升比率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68.00</w:t>
            </w:r>
          </w:p>
        </w:tc>
        <w:tc>
          <w:tcPr>
            <w:tcW w:w="964" w:type="dxa"/>
            <w:vAlign w:val="center"/>
          </w:tcPr>
          <w:p>
            <w:pPr>
              <w:pStyle w:val="单元格样式7"/>
            </w:pPr>
            <w:r>
              <w:t xml:space="preserve">68.00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68.00</w:t>
            </w:r>
          </w:p>
        </w:tc>
      </w:tr>
      <w:tr>
        <w:trPr>
          <w:cantSplit/>
          <w:trHeight w:hRule="auto" w:val="0"/>
          <w:jc w:val="center"/>
        </w:trPr>
        <w:tc>
          <w:tcPr>
            <w:tcW w:w="1701" w:type="dxa"/>
            <w:vAlign w:val="center"/>
          </w:tcPr>
          <w:p>
            <w:pPr>
              <w:pStyle w:val="单元格样式6"/>
            </w:pPr>
            <w:r>
              <w:t xml:space="preserve">河北沧州经济开发区行政审批局本级小计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68.00</w:t>
            </w:r>
          </w:p>
        </w:tc>
        <w:tc>
          <w:tcPr>
            <w:tcW w:w="964" w:type="dxa"/>
            <w:vAlign w:val="center"/>
          </w:tcPr>
          <w:p>
            <w:pPr>
              <w:pStyle w:val="单元格样式7"/>
            </w:pPr>
            <w:r>
              <w:t xml:space="preserve">68.00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68.00</w:t>
            </w:r>
          </w:p>
        </w:tc>
      </w:tr>
      <w:tr>
        <w:trPr>
          <w:cantSplit/>
          <w:trHeight w:hRule="auto" w:val="0"/>
          <w:jc w:val="center"/>
        </w:trPr>
        <w:tc>
          <w:tcPr>
            <w:tcW w:w="1701" w:type="dxa"/>
            <w:vAlign w:val="center"/>
          </w:tcPr>
          <w:p>
            <w:pPr>
              <w:pStyle w:val="单元格样式2"/>
            </w:pPr>
            <w:r>
              <w:t xml:space="preserve">机关运行费</w:t>
            </w:r>
          </w:p>
        </w:tc>
        <w:tc>
          <w:tcPr>
            <w:tcW w:w="964" w:type="dxa"/>
            <w:vAlign w:val="center"/>
          </w:tcPr>
          <w:p>
            <w:pPr>
              <w:pStyle w:val="单元格样式4"/>
            </w:pPr>
            <w:r>
              <w:t xml:space="preserve">195.00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68.00</w:t>
            </w:r>
          </w:p>
        </w:tc>
        <w:tc>
          <w:tcPr>
            <w:tcW w:w="964" w:type="dxa"/>
            <w:vAlign w:val="center"/>
          </w:tcPr>
          <w:p>
            <w:pPr>
              <w:pStyle w:val="单元格样式4"/>
            </w:pPr>
            <w:r>
              <w:t xml:space="preserve">68.00</w:t>
            </w:r>
          </w:p>
        </w:tc>
        <w:tc>
          <w:tcPr>
            <w:tcW w:w="964" w:type="dxa"/>
            <w:vAlign w:val="center"/>
          </w:tcPr>
          <w:p>
            <w:pPr>
              <w:pStyle w:val="单元格样式4"/>
            </w:pPr>
            <w:r>
              <w:t xml:space="preserve">68.00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68.00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河北沧州经济开发区行政审批局（含所属单位）上年末固定资产金额为0.00万元（详见下表）。本年度拟购置固定资产总额为0.00万元，已按要求列入政府采购预算，详见政府采购预算表。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712河北沧州经济开发区行政审批局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一、河北沧州经济开发区行政审批局本级收支预算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473.20</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473.20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473.20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473.20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473.20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473.20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473.20</w:t>
            </w:r>
          </w:p>
        </w:tc>
        <w:tc>
          <w:tcPr>
            <w:tcW w:w="1134" w:type="dxa"/>
            <w:vAlign w:val="center"/>
          </w:tcPr>
          <w:p>
            <w:pPr>
              <w:pStyle w:val="单元格样式7"/>
            </w:pPr>
            <w:r>
              <w:t xml:space="preserve">473.20</w:t>
            </w:r>
          </w:p>
        </w:tc>
        <w:tc>
          <w:tcPr>
            <w:tcW w:w="1134" w:type="dxa"/>
            <w:vAlign w:val="center"/>
          </w:tcPr>
          <w:p>
            <w:pPr>
              <w:pStyle w:val="单元格样式7"/>
            </w:pPr>
            <w:r>
              <w:t xml:space="preserve">473.20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r>
              <w:t xml:space="preserve">473.20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473.20</w:t>
            </w:r>
          </w:p>
        </w:tc>
        <w:tc>
          <w:tcPr>
            <w:tcW w:w="1361" w:type="dxa"/>
            <w:vAlign w:val="center"/>
          </w:tcPr>
          <w:p>
            <w:pPr>
              <w:pStyle w:val="单元格样式7"/>
            </w:pPr>
            <w:r>
              <w:t xml:space="preserve">7.20</w:t>
            </w:r>
          </w:p>
        </w:tc>
        <w:tc>
          <w:tcPr>
            <w:tcW w:w="1361" w:type="dxa"/>
            <w:vAlign w:val="center"/>
          </w:tcPr>
          <w:p>
            <w:pPr>
              <w:pStyle w:val="单元格样式7"/>
            </w:pPr>
            <w:r>
              <w:t xml:space="preserve">466.00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473.20</w:t>
            </w:r>
          </w:p>
        </w:tc>
        <w:tc>
          <w:tcPr>
            <w:tcW w:w="1361" w:type="dxa"/>
            <w:vAlign w:val="center"/>
          </w:tcPr>
          <w:p>
            <w:pPr>
              <w:pStyle w:val="单元格样式4"/>
            </w:pPr>
            <w:r>
              <w:t xml:space="preserve">7.20</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473.20</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473.20</w:t>
            </w:r>
          </w:p>
        </w:tc>
        <w:tc>
          <w:tcPr>
            <w:tcW w:w="1474" w:type="dxa"/>
            <w:vAlign w:val="center"/>
          </w:tcPr>
          <w:p>
            <w:pPr>
              <w:pStyle w:val="单元格样式4"/>
            </w:pPr>
            <w:r>
              <w:t xml:space="preserve">473.20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473.20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473.20</w:t>
            </w:r>
          </w:p>
        </w:tc>
        <w:tc>
          <w:tcPr>
            <w:tcW w:w="1474" w:type="dxa"/>
            <w:vAlign w:val="center"/>
          </w:tcPr>
          <w:p>
            <w:pPr>
              <w:pStyle w:val="单元格样式7"/>
            </w:pPr>
            <w:r>
              <w:t xml:space="preserve">473.20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473.20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473.20</w:t>
            </w:r>
          </w:p>
        </w:tc>
        <w:tc>
          <w:tcPr>
            <w:tcW w:w="1474" w:type="dxa"/>
            <w:vAlign w:val="center"/>
          </w:tcPr>
          <w:p>
            <w:pPr>
              <w:pStyle w:val="单元格样式7"/>
            </w:pPr>
            <w:r>
              <w:t xml:space="preserve">473.20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473.20</w:t>
            </w:r>
          </w:p>
        </w:tc>
        <w:tc>
          <w:tcPr>
            <w:tcW w:w="2551" w:type="dxa"/>
            <w:vAlign w:val="center"/>
          </w:tcPr>
          <w:p>
            <w:pPr>
              <w:pStyle w:val="单元格样式7"/>
            </w:pPr>
            <w:r>
              <w:t xml:space="preserve">7.20</w:t>
            </w:r>
          </w:p>
        </w:tc>
        <w:tc>
          <w:tcPr>
            <w:tcW w:w="2551" w:type="dxa"/>
            <w:vAlign w:val="center"/>
          </w:tcPr>
          <w:p>
            <w:pPr>
              <w:pStyle w:val="单元格样式7"/>
            </w:pPr>
            <w:r>
              <w:t xml:space="preserve">466.00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473.20</w:t>
            </w:r>
          </w:p>
        </w:tc>
        <w:tc>
          <w:tcPr>
            <w:tcW w:w="2551" w:type="dxa"/>
            <w:vAlign w:val="center"/>
          </w:tcPr>
          <w:p>
            <w:pPr>
              <w:pStyle w:val="单元格样式4"/>
            </w:pPr>
            <w:r>
              <w:t xml:space="preserve">7.20</w:t>
            </w:r>
          </w:p>
        </w:tc>
        <w:tc>
          <w:tcPr>
            <w:tcW w:w="2551" w:type="dxa"/>
            <w:vAlign w:val="center"/>
          </w:tcPr>
          <w:p>
            <w:pPr>
              <w:pStyle w:val="单元格样式4"/>
            </w:pPr>
            <w:r>
              <w:t xml:space="preserve">466.00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7.20</w:t>
            </w:r>
          </w:p>
        </w:tc>
        <w:tc>
          <w:tcPr>
            <w:tcW w:w="2551" w:type="dxa"/>
            <w:vAlign w:val="center"/>
          </w:tcPr>
          <w:p>
            <w:pPr>
              <w:pStyle w:val="单元格样式7"/>
            </w:pPr>
          </w:p>
        </w:tc>
        <w:tc>
          <w:tcPr>
            <w:tcW w:w="2551" w:type="dxa"/>
            <w:vAlign w:val="center"/>
          </w:tcPr>
          <w:p>
            <w:pPr>
              <w:pStyle w:val="单元格样式7"/>
            </w:pPr>
            <w:r>
              <w:t xml:space="preserve">7.20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7.20</w:t>
            </w:r>
          </w:p>
        </w:tc>
        <w:tc>
          <w:tcPr>
            <w:tcW w:w="2551" w:type="dxa"/>
            <w:vAlign w:val="center"/>
          </w:tcPr>
          <w:p>
            <w:pPr>
              <w:pStyle w:val="单元格样式4"/>
            </w:pPr>
          </w:p>
        </w:tc>
        <w:tc>
          <w:tcPr>
            <w:tcW w:w="2551" w:type="dxa"/>
            <w:vAlign w:val="center"/>
          </w:tcPr>
          <w:p>
            <w:pPr>
              <w:pStyle w:val="单元格样式4"/>
            </w:pPr>
            <w:r>
              <w:t xml:space="preserve">7.20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6.90</w:t>
            </w:r>
          </w:p>
        </w:tc>
        <w:tc>
          <w:tcPr>
            <w:tcW w:w="2551" w:type="dxa"/>
            <w:vAlign w:val="center"/>
          </w:tcPr>
          <w:p>
            <w:pPr>
              <w:pStyle w:val="单元格样式4"/>
            </w:pPr>
          </w:p>
        </w:tc>
        <w:tc>
          <w:tcPr>
            <w:tcW w:w="2551" w:type="dxa"/>
            <w:vAlign w:val="center"/>
          </w:tcPr>
          <w:p>
            <w:pPr>
              <w:pStyle w:val="单元格样式4"/>
            </w:pPr>
            <w:r>
              <w:t xml:space="preserve">6.90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河北沧州经济开发区行政审批局本级2025年单位预算信息公开情况说明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按照《中华人民共和国预算法》、《地方预决算公开操作规程》和《关于进一步推进预算公开工作的实施意见》规定，现将河北沧州经济开发区行政审批局本级2025年单位预算公开如下：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河北沧州经济开发区行政审批局本级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1、办公设备购置费绩效目标表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13091125P00526610002R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办公设备购置费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国产安可计算机及外设设备的替换6万元，完善政务大厅各专区建设所需的桌椅及电子设备5万元。2024年未支付部分：按上级要求采购智能印控机6.98万元，政务服务一体机6.02万元，叫号系统、视频会议系统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1.保障政务服务大厅和审批局办公区工作人员的日常办公桌椅正常可用，保证政务服务大厅及审批局办公区的计算机、扫描仪、档案装订机、打印机等设备正常可用，满足业务办理的配置要求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完成年度预算资金安排</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保障相关业务、工作等开展的情况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保障相关业务、工作等开展的情况</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2、创城经费绩效目标表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13091125P00012810002K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创城经费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政务大厅创城创卫标准化建设和便民服务8万元。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做好新时代精神文明建设，以创建文明城市、卫生城市引领带动精神文明建设各项工作全面提升。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各项任务完成及时率（%）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各项工作落实到位率</w:t>
            </w:r>
          </w:p>
        </w:tc>
        <w:tc>
          <w:tcPr>
            <w:tcW w:w="5386" w:type="dxa"/>
            <w:vAlign w:val="center"/>
          </w:tcPr>
          <w:p>
            <w:pPr>
              <w:pStyle w:val="单元格样式2"/>
            </w:pPr>
            <w:r>
              <w:t xml:space="preserve">各项工作落实到位率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各项工作落实到位率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vAlign w:val="center"/>
          </w:tcPr>
          <w:p>
            <w:pPr>
              <w:pStyle w:val="单元格样式2"/>
            </w:pPr>
            <w:r>
              <w:t xml:space="preserve">提升全局财务管理水平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w:t>
            </w:r>
          </w:p>
        </w:tc>
        <w:tc>
          <w:tcPr>
            <w:tcW w:w="5386" w:type="dxa"/>
            <w:vAlign w:val="center"/>
          </w:tcPr>
          <w:p>
            <w:pPr>
              <w:pStyle w:val="单元格样式2"/>
            </w:pPr>
            <w:r>
              <w:t xml:space="preserve">业务保障能力</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3、党建经费绩效目标表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13091125P00012710002X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党建经费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用于党支部的标准化、规范化建设2万元。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1.提高基层党的执政能力，保持和发展党的先进性。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按照要求和计划完成任务的百分比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w:t>
            </w:r>
          </w:p>
        </w:tc>
        <w:tc>
          <w:tcPr>
            <w:tcW w:w="5386" w:type="dxa"/>
            <w:vAlign w:val="center"/>
          </w:tcPr>
          <w:p>
            <w:pPr>
              <w:pStyle w:val="单元格样式2"/>
            </w:pPr>
            <w:r>
              <w:t xml:space="preserve">预算</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社会效益指标</w:t>
            </w:r>
          </w:p>
        </w:tc>
        <w:tc>
          <w:tcPr>
            <w:tcW w:w="5386" w:type="dxa"/>
            <w:vAlign w:val="center"/>
          </w:tcPr>
          <w:p>
            <w:pPr>
              <w:pStyle w:val="单元格样式2"/>
            </w:pPr>
            <w:r>
              <w:t xml:space="preserve">社会效益指标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影响着机关作用的发挥和党员队伍在人民群众心中的地位。</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保障服务水平</w:t>
            </w:r>
          </w:p>
        </w:tc>
        <w:tc>
          <w:tcPr>
            <w:tcW w:w="5386" w:type="dxa"/>
            <w:vAlign w:val="center"/>
          </w:tcPr>
          <w:p>
            <w:pPr>
              <w:pStyle w:val="单元格样式2"/>
            </w:pPr>
            <w:r>
              <w:t xml:space="preserve">保障服务水平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保障设备正常运行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4、机关运行费绩效目标表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13091125P00526310002Q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房租68万元，电费20万元，水费5万元，物业管理费6万元，中央空调使用费20万元；财政专线、环保专线、视频会议专线、网上预约系统、固定电话费共计5万元，日常办公、保洁用品及机关设备维修维护费20万元，扩展档案室建设费6万元。2023年未支付宝丽家具45万元，以上费用为日常运行保障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保障办公用房及水、电、燃气、暖气的日常供应满足日常运行条件；保障财政、环保专线、网上预约系统、一体化平台可用，满足日常业务审批；保障视频会议专线可用，满足参加省、市政务服务系统会议的条件；保障勘查车日常维修、保养、保险等，满足各业务科室日常外出勘查需求；保障固定电话的日常通讯要求；保障网络、系统、平台因业务调整、系统升级、软件或硬件的升级更新，使局内日常办公和业务审批能正常有序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各项工作完成及时率</w:t>
            </w:r>
          </w:p>
        </w:tc>
        <w:tc>
          <w:tcPr>
            <w:tcW w:w="5386" w:type="dxa"/>
            <w:vAlign w:val="center"/>
          </w:tcPr>
          <w:p>
            <w:pPr>
              <w:pStyle w:val="单元格样式2"/>
            </w:pPr>
            <w:r>
              <w:t xml:space="preserve">各项工作完成及时率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各项工作完成及时率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提高工作效率</w:t>
            </w:r>
          </w:p>
        </w:tc>
        <w:tc>
          <w:tcPr>
            <w:tcW w:w="5386" w:type="dxa"/>
            <w:vAlign w:val="center"/>
          </w:tcPr>
          <w:p>
            <w:pPr>
              <w:pStyle w:val="单元格样式2"/>
            </w:pPr>
            <w:r>
              <w:t xml:space="preserve">提高工作效率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提高工作效率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保障机关单位正常运转</w:t>
            </w:r>
          </w:p>
        </w:tc>
        <w:tc>
          <w:tcPr>
            <w:tcW w:w="5386" w:type="dxa"/>
            <w:vAlign w:val="center"/>
          </w:tcPr>
          <w:p>
            <w:pPr>
              <w:pStyle w:val="单元格样式2"/>
            </w:pPr>
            <w:r>
              <w:t xml:space="preserve">保障机关单位正常运转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保障机关单位正常运转</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保障业务工作情况</w:t>
            </w:r>
          </w:p>
        </w:tc>
        <w:tc>
          <w:tcPr>
            <w:tcW w:w="5386" w:type="dxa"/>
            <w:vAlign w:val="center"/>
          </w:tcPr>
          <w:p>
            <w:pPr>
              <w:pStyle w:val="单元格样式2"/>
            </w:pPr>
            <w:r>
              <w:t xml:space="preserve">保障业务工作情况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保障业务工作情况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vAlign w:val="center"/>
          </w:tcPr>
          <w:p>
            <w:pPr>
              <w:pStyle w:val="单元格样式2"/>
            </w:pPr>
            <w:r>
              <w:t xml:space="preserve">服务对象的满意度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服务对象的满意度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5、区域环评费绩效目标表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13091125P005267100033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区域环评费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用于涉及区域环评报审的尾款费用，按照合同报告编制完成，通过专家评审并取得书面审查意见后，向第三方公司支付30%的合同款费用5万元。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通过第三方公司向河北省生态环境厅报审开发区区域环评，并取得河北省生态环境厅对开发区产业发展规划环境影响报告书的审查意见。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vAlign w:val="center"/>
          </w:tcPr>
          <w:p>
            <w:pPr>
              <w:pStyle w:val="单元格样式2"/>
            </w:pPr>
            <w:r>
              <w:t xml:space="preserve">完成率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拨款执行率（%）</w:t>
            </w:r>
          </w:p>
        </w:tc>
        <w:tc>
          <w:tcPr>
            <w:tcW w:w="5386" w:type="dxa"/>
            <w:vAlign w:val="center"/>
          </w:tcPr>
          <w:p>
            <w:pPr>
              <w:pStyle w:val="单元格样式2"/>
            </w:pPr>
            <w:r>
              <w:t xml:space="preserve">拨款执行率（%）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拨款执行率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vAlign w:val="center"/>
          </w:tcPr>
          <w:p>
            <w:pPr>
              <w:pStyle w:val="单元格样式2"/>
            </w:pPr>
            <w:r>
              <w:t xml:space="preserve">预算执行率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vAlign w:val="center"/>
          </w:tcPr>
          <w:p>
            <w:pPr>
              <w:pStyle w:val="单元格样式2"/>
            </w:pPr>
            <w:r>
              <w:t xml:space="preserve">提高效率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提高效率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保障工作开展</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保障工作开展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保障能力提升情况</w:t>
            </w:r>
          </w:p>
        </w:tc>
        <w:tc>
          <w:tcPr>
            <w:tcW w:w="5386" w:type="dxa"/>
            <w:vAlign w:val="center"/>
          </w:tcPr>
          <w:p>
            <w:pPr>
              <w:pStyle w:val="单元格样式2"/>
            </w:pPr>
            <w:r>
              <w:t xml:space="preserve">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保障能力提升情况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6、政务中心运行费绩效目标表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13091125P00003110002B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政务中心运行费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善、升级政务服务大厅标准化建设费用10万元；新开办企业首枚印章刻制补贴费用5万元；承接下放和划转事项网络建设、许可事项纸质证照采购10万元，政务大厅宣传品制作5万元；根据国家、省、市政策持续提升我区营商环境建设费用10万元；2024年新政务大厅装修、LED大屏、监控设备等费用160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善、升级政务服务大厅标准化建设，提高我区政务服务标准化建设水平，优化政务大厅环境，提升办事群众满意度；保证政务服务大厅工作持续、有效的开展；根据国家、省、市政策持续提升我区营商环境建设。</w:t>
            </w:r>
          </w:p>
          <w:p>
            <w:pPr>
              <w:pStyle w:val="单元格样式2"/>
            </w:pP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完成及时率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预算执行</w:t>
            </w:r>
          </w:p>
        </w:tc>
        <w:tc>
          <w:tcPr>
            <w:tcW w:w="2268" w:type="dxa"/>
            <w:vAlign w:val="center"/>
          </w:tcPr>
          <w:p>
            <w:pPr>
              <w:pStyle w:val="单元格样式2"/>
            </w:pPr>
            <w:r>
              <w:t xml:space="preserve">≥98百分比</w:t>
            </w:r>
          </w:p>
        </w:tc>
        <w:tc>
          <w:tcPr>
            <w:tcW w:w="1276" w:type="dxa"/>
            <w:vAlign w:val="center"/>
          </w:tcPr>
          <w:p>
            <w:pPr>
              <w:pStyle w:val="单元格样式2"/>
            </w:pPr>
            <w:r>
              <w:t xml:space="preserve">预算执行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业务保障能力提升情况</w:t>
            </w:r>
          </w:p>
        </w:tc>
        <w:tc>
          <w:tcPr>
            <w:tcW w:w="5386" w:type="dxa"/>
            <w:vAlign w:val="center"/>
          </w:tcPr>
          <w:p>
            <w:pPr>
              <w:pStyle w:val="单元格样式2"/>
            </w:pPr>
            <w:r>
              <w:t xml:space="preserve">业务保障能力提升情况</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业务保障能力提升比率</w:t>
            </w:r>
          </w:p>
        </w:tc>
        <w:tc>
          <w:tcPr>
            <w:tcW w:w="5386" w:type="dxa"/>
            <w:vAlign w:val="center"/>
          </w:tcPr>
          <w:p>
            <w:pPr>
              <w:pStyle w:val="单元格样式2"/>
            </w:pPr>
            <w:r>
              <w:t xml:space="preserve">业务保障能力提升比率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业务保障能力提升比率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正常运转指标</w:t>
            </w:r>
          </w:p>
        </w:tc>
        <w:tc>
          <w:tcPr>
            <w:tcW w:w="5386" w:type="dxa"/>
            <w:vAlign w:val="center"/>
          </w:tcPr>
          <w:p>
            <w:pPr>
              <w:pStyle w:val="单元格样式2"/>
            </w:pPr>
            <w:r>
              <w:t xml:space="preserve">正常运转指标</w:t>
            </w:r>
          </w:p>
        </w:tc>
        <w:tc>
          <w:tcPr>
            <w:tcW w:w="2268" w:type="dxa"/>
            <w:vAlign w:val="center"/>
          </w:tcPr>
          <w:p>
            <w:pPr>
              <w:pStyle w:val="单元格样式2"/>
            </w:pPr>
            <w:r>
              <w:t xml:space="preserve">≥98百分比</w:t>
            </w:r>
          </w:p>
        </w:tc>
        <w:tc>
          <w:tcPr>
            <w:tcW w:w="1276" w:type="dxa"/>
            <w:vAlign w:val="center"/>
          </w:tcPr>
          <w:p>
            <w:pPr>
              <w:pStyle w:val="单元格样式2"/>
            </w:pPr>
            <w:r>
              <w:t xml:space="preserve">正常运转指标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7、专家费等第三方服务费绩效目标表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13091125P000129100029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专家费等第三方服务费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涉及环境影响评价、排污许可、人防、计量、食品审查等专业的审批事项聘请专家进行专业技术审查的费用，结合往年各专业专家费的实际情况，2025年环评、排污许可、人防、计量、食品审查等专业共10万元。2024年专家费未支付14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0.30</w:t>
            </w:r>
          </w:p>
        </w:tc>
        <w:tc>
          <w:tcPr>
            <w:tcW w:w="2835" w:type="dxa"/>
            <w:vAlign w:val="center"/>
          </w:tcPr>
          <w:p>
            <w:pPr>
              <w:pStyle w:val="单元格样式3"/>
            </w:pPr>
            <w:r>
              <w:t xml:space="preserve">0.30</w:t>
            </w:r>
          </w:p>
        </w:tc>
        <w:tc>
          <w:tcPr>
            <w:tcW w:w="2551" w:type="dxa"/>
            <w:vAlign w:val="center"/>
          </w:tcPr>
          <w:p>
            <w:pPr>
              <w:pStyle w:val="单元格样式3"/>
            </w:pPr>
            <w:r>
              <w:t xml:space="preserve">0.30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根据法定要求，按时完成相关专业审批事项的审批任务，保障涉及环境影响评价、人防、计量、节能审查、食品生产审查等专业的审批事项依法依规进行审批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5386" w:type="dxa"/>
            <w:vAlign w:val="center"/>
          </w:tcPr>
          <w:p>
            <w:pPr>
              <w:pStyle w:val="单元格样式2"/>
            </w:pPr>
            <w:r>
              <w:t xml:space="preserve">各项任务完成及时率（%）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按照要求和计划完成任务的百分比</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设备正常运转</w:t>
            </w:r>
          </w:p>
        </w:tc>
        <w:tc>
          <w:tcPr>
            <w:tcW w:w="5386" w:type="dxa"/>
            <w:vAlign w:val="center"/>
          </w:tcPr>
          <w:p>
            <w:pPr>
              <w:pStyle w:val="单元格样式2"/>
            </w:pPr>
            <w:r>
              <w:t xml:space="preserve">设备正常运转</w:t>
            </w:r>
          </w:p>
        </w:tc>
        <w:tc>
          <w:tcPr>
            <w:tcW w:w="2268" w:type="dxa"/>
            <w:vAlign w:val="center"/>
          </w:tcPr>
          <w:p>
            <w:pPr>
              <w:pStyle w:val="单元格样式2"/>
            </w:pPr>
            <w:r>
              <w:t xml:space="preserve">≥98百分比</w:t>
            </w:r>
          </w:p>
        </w:tc>
        <w:tc>
          <w:tcPr>
            <w:tcW w:w="1276" w:type="dxa"/>
            <w:vAlign w:val="center"/>
          </w:tcPr>
          <w:p>
            <w:pPr>
              <w:pStyle w:val="单元格样式2"/>
            </w:pPr>
            <w:r>
              <w:t xml:space="preserve">设备正常运转</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w:t>
            </w:r>
          </w:p>
        </w:tc>
        <w:tc>
          <w:tcPr>
            <w:tcW w:w="5386" w:type="dxa"/>
            <w:vAlign w:val="center"/>
          </w:tcPr>
          <w:p>
            <w:pPr>
              <w:pStyle w:val="单元格样式2"/>
            </w:pPr>
            <w:r>
              <w:t xml:space="preserve">完成年度预算资金安排</w:t>
            </w:r>
          </w:p>
        </w:tc>
        <w:tc>
          <w:tcPr>
            <w:tcW w:w="2268" w:type="dxa"/>
            <w:vAlign w:val="center"/>
          </w:tcPr>
          <w:p>
            <w:pPr>
              <w:pStyle w:val="单元格样式2"/>
            </w:pPr>
            <w:r>
              <w:t xml:space="preserve">≥98百分比</w:t>
            </w:r>
          </w:p>
        </w:tc>
        <w:tc>
          <w:tcPr>
            <w:tcW w:w="1276" w:type="dxa"/>
            <w:vAlign w:val="center"/>
          </w:tcPr>
          <w:p>
            <w:pPr>
              <w:pStyle w:val="单元格样式2"/>
            </w:pPr>
            <w:r>
              <w:t xml:space="preserve">完成年度预算资金安排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提升全局财务管理水平</w:t>
            </w:r>
          </w:p>
        </w:tc>
        <w:tc>
          <w:tcPr>
            <w:tcW w:w="5386" w:type="dxa"/>
            <w:vAlign w:val="center"/>
          </w:tcPr>
          <w:p>
            <w:pPr>
              <w:pStyle w:val="单元格样式2"/>
            </w:pPr>
            <w:r>
              <w:t xml:space="preserve">提升全局财务管理水平</w:t>
            </w:r>
          </w:p>
        </w:tc>
        <w:tc>
          <w:tcPr>
            <w:tcW w:w="2268" w:type="dxa"/>
            <w:vAlign w:val="center"/>
          </w:tcPr>
          <w:p>
            <w:pPr>
              <w:pStyle w:val="单元格样式2"/>
            </w:pPr>
            <w:r>
              <w:t xml:space="preserve">≥98百分比</w:t>
            </w:r>
          </w:p>
        </w:tc>
        <w:tc>
          <w:tcPr>
            <w:tcW w:w="1276" w:type="dxa"/>
            <w:vAlign w:val="center"/>
          </w:tcPr>
          <w:p>
            <w:pPr>
              <w:pStyle w:val="单元格样式2"/>
            </w:pPr>
            <w:r>
              <w:t xml:space="preserve">提升全局财务管理水平</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业务保障能力提升比率</w:t>
            </w:r>
          </w:p>
        </w:tc>
        <w:tc>
          <w:tcPr>
            <w:tcW w:w="5386" w:type="dxa"/>
            <w:vAlign w:val="center"/>
          </w:tcPr>
          <w:p>
            <w:pPr>
              <w:pStyle w:val="单元格样式2"/>
            </w:pPr>
            <w:r>
              <w:t xml:space="preserve">业务保障能力提升比率</w:t>
            </w:r>
          </w:p>
        </w:tc>
        <w:tc>
          <w:tcPr>
            <w:tcW w:w="2268" w:type="dxa"/>
            <w:vAlign w:val="center"/>
          </w:tcPr>
          <w:p>
            <w:pPr>
              <w:pStyle w:val="单元格样式2"/>
            </w:pPr>
            <w:r>
              <w:t xml:space="preserve">≥98百分比</w:t>
            </w:r>
          </w:p>
        </w:tc>
        <w:tc>
          <w:tcPr>
            <w:tcW w:w="1276" w:type="dxa"/>
            <w:vAlign w:val="center"/>
          </w:tcPr>
          <w:p>
            <w:pPr>
              <w:pStyle w:val="单元格样式2"/>
            </w:pPr>
            <w:r>
              <w:t xml:space="preserve">业务保障能力提升比率</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≥98百分比</w:t>
            </w:r>
          </w:p>
        </w:tc>
        <w:tc>
          <w:tcPr>
            <w:tcW w:w="1276" w:type="dxa"/>
            <w:vAlign w:val="center"/>
          </w:tcPr>
          <w:p>
            <w:pPr>
              <w:pStyle w:val="单元格样式2"/>
            </w:pPr>
            <w:r>
              <w:t xml:space="preserve">保障日常办公</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≥98百分比</w:t>
            </w:r>
          </w:p>
        </w:tc>
        <w:tc>
          <w:tcPr>
            <w:tcW w:w="1276" w:type="dxa"/>
            <w:vAlign w:val="center"/>
          </w:tcPr>
          <w:p>
            <w:pPr>
              <w:pStyle w:val="单元格样式2"/>
            </w:pPr>
            <w:r>
              <w:t xml:space="preserve">服务对象满意度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68.00</w:t>
            </w:r>
          </w:p>
        </w:tc>
        <w:tc>
          <w:tcPr>
            <w:tcW w:w="964" w:type="dxa"/>
            <w:vAlign w:val="center"/>
          </w:tcPr>
          <w:p>
            <w:pPr>
              <w:pStyle w:val="单元格样式7"/>
            </w:pPr>
            <w:r>
              <w:t xml:space="preserve">68.00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68.00</w:t>
            </w:r>
          </w:p>
        </w:tc>
      </w:tr>
      <w:tr>
        <w:trPr>
          <w:cantSplit/>
          <w:trHeight w:hRule="auto" w:val="0"/>
          <w:jc w:val="center"/>
        </w:trPr>
        <w:tc>
          <w:tcPr>
            <w:tcW w:w="1701" w:type="dxa"/>
            <w:vAlign w:val="center"/>
          </w:tcPr>
          <w:p>
            <w:pPr>
              <w:pStyle w:val="单元格样式6"/>
            </w:pPr>
            <w:r>
              <w:t xml:space="preserve">河北沧州经济开发区行政审批局本级小计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68.00</w:t>
            </w:r>
          </w:p>
        </w:tc>
        <w:tc>
          <w:tcPr>
            <w:tcW w:w="964" w:type="dxa"/>
            <w:vAlign w:val="center"/>
          </w:tcPr>
          <w:p>
            <w:pPr>
              <w:pStyle w:val="单元格样式7"/>
            </w:pPr>
            <w:r>
              <w:t xml:space="preserve">68.00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68.00</w:t>
            </w:r>
          </w:p>
        </w:tc>
      </w:tr>
      <w:tr>
        <w:trPr>
          <w:cantSplit/>
          <w:trHeight w:hRule="auto" w:val="0"/>
          <w:jc w:val="center"/>
        </w:trPr>
        <w:tc>
          <w:tcPr>
            <w:tcW w:w="1701" w:type="dxa"/>
            <w:vAlign w:val="center"/>
          </w:tcPr>
          <w:p>
            <w:pPr>
              <w:pStyle w:val="单元格样式2"/>
            </w:pPr>
            <w:r>
              <w:t xml:space="preserve">机关运行费</w:t>
            </w:r>
          </w:p>
        </w:tc>
        <w:tc>
          <w:tcPr>
            <w:tcW w:w="964" w:type="dxa"/>
            <w:vAlign w:val="center"/>
          </w:tcPr>
          <w:p>
            <w:pPr>
              <w:pStyle w:val="单元格样式4"/>
            </w:pPr>
            <w:r>
              <w:t xml:space="preserve">195.00</w:t>
            </w:r>
          </w:p>
        </w:tc>
        <w:tc>
          <w:tcPr>
            <w:tcW w:w="1134" w:type="dxa"/>
            <w:vAlign w:val="center"/>
          </w:tcPr>
          <w:p>
            <w:pPr>
              <w:pStyle w:val="单元格样式2"/>
            </w:pPr>
            <w:r>
              <w:t xml:space="preserve">房屋租赁服务</w:t>
            </w:r>
          </w:p>
        </w:tc>
        <w:tc>
          <w:tcPr>
            <w:tcW w:w="1134" w:type="dxa"/>
            <w:vAlign w:val="center"/>
          </w:tcPr>
          <w:p>
            <w:pPr>
              <w:pStyle w:val="单元格样式2"/>
            </w:pPr>
            <w:r>
              <w:t xml:space="preserve">C21020000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68.00</w:t>
            </w:r>
          </w:p>
        </w:tc>
        <w:tc>
          <w:tcPr>
            <w:tcW w:w="964" w:type="dxa"/>
            <w:vAlign w:val="center"/>
          </w:tcPr>
          <w:p>
            <w:pPr>
              <w:pStyle w:val="单元格样式4"/>
            </w:pPr>
            <w:r>
              <w:t xml:space="preserve">68.00</w:t>
            </w:r>
          </w:p>
        </w:tc>
        <w:tc>
          <w:tcPr>
            <w:tcW w:w="964" w:type="dxa"/>
            <w:vAlign w:val="center"/>
          </w:tcPr>
          <w:p>
            <w:pPr>
              <w:pStyle w:val="单元格样式4"/>
            </w:pPr>
            <w:r>
              <w:t xml:space="preserve">68.00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68.00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河北沧州经济开发区行政审批局本级上年末固定资产金额为0.00万元（详见下表）。本年度拟购置固定资产总额为0.00万元，已按要求列入政府采购预算，详见政府采购预算表。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712001河北沧州经济开发区行政审批局本级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2025-04-29T09:59:08Z</dcterms:created>
  <dcterms:modified xsi:type="dcterms:W3CDTF">2025-04-29T09:59:08Z</dcterms:modified>
</cp:coreProperties>
</file>