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E95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河北沧州经济开发区党政办公室</w:t>
      </w:r>
    </w:p>
    <w:p w14:paraId="10FB6DF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 w14:paraId="042C8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514E2C2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根据《中华人民共和国政府信息公开条例》（以下简称《条例》）规定和《国务院办公厅政府信息与政务公开办公室关于印发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&lt;中华人民共和国政府信息公开工作年度报告格式&gt;的通知》要求，现将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沧州经济开发区202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年12月31日政务信息公开情况报告如下：</w:t>
      </w:r>
    </w:p>
    <w:p w14:paraId="307991C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0" w:firstLine="640" w:firstLineChars="200"/>
        <w:textAlignment w:val="auto"/>
        <w:rPr>
          <w:rFonts w:ascii="黑体" w:hAnsi="宋体" w:eastAsia="黑体" w:cs="黑体"/>
          <w:b w:val="0"/>
          <w:kern w:val="0"/>
          <w:sz w:val="32"/>
          <w:szCs w:val="32"/>
        </w:rPr>
      </w:pPr>
      <w:r>
        <w:rPr>
          <w:rFonts w:ascii="黑体" w:hAnsi="宋体" w:eastAsia="黑体" w:cs="黑体"/>
          <w:b w:val="0"/>
          <w:kern w:val="0"/>
          <w:sz w:val="32"/>
          <w:szCs w:val="32"/>
        </w:rPr>
        <w:t>总体情况</w:t>
      </w:r>
    </w:p>
    <w:p w14:paraId="197DBD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开发区党政办公室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认真贯彻落实党中央、国务院及省委、省政府关于政务公开的决策部署，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围绕主动公开、依申请公开、政府信息管理、公开平台建设、监督保障等方面，聚焦经济平稳健康发展和社会和谐稳定，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发挥以公开促落实、促规范、强监管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作用，政务公开工作质效不断提升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730BE2D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（一）</w:t>
      </w:r>
      <w:r>
        <w:rPr>
          <w:rFonts w:ascii="楷体" w:hAnsi="楷体" w:eastAsia="楷体" w:cs="楷体"/>
          <w:b/>
          <w:bCs/>
          <w:kern w:val="0"/>
          <w:sz w:val="32"/>
          <w:szCs w:val="32"/>
        </w:rPr>
        <w:t>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围绕中心工作，积极推进主动公开。202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区进一步落实《优化营商环境条例》,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制了《一般工业项目入区全周期、全流程服务导图》，进一步明确了行管部门（单位）职责分工，确定了办事人员权限，承诺了办理条件和时限。对各部门（单位）行使的各类权力进行了全面清理，加以规范，做到了主动公开、真实公开和全面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0337DF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Calibri" w:hAnsi="Calibri" w:eastAsia="仿宋" w:cs="Calibr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持续深入推进决策、执行、管理、服务、结果“五公开”，全年通过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发布各类政府信息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专题专栏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通过政务新媒体开发区官方微信公众号发布信息2013条，今日头条号发布信息207条。</w:t>
      </w:r>
    </w:p>
    <w:p w14:paraId="2B4186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643" w:firstLineChars="2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依申请公开。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完善依申请公开的受理、审查、处理、答复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等办理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程序,依据相关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条例规定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，对申请是否有效、是否应该公开、公开后可能会带来的影响等进行综合分析，规范政府依申请公开办理，全面提升政府信息公开申请办理质量，依法保障群众合理信息需求。202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共收到依申请公开信息共计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均在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内回复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，全面履行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公开责任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未出现因依申请公开引发的行政复议、行政诉讼件。</w:t>
      </w:r>
    </w:p>
    <w:p w14:paraId="149E06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政府信息管理。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对我区政府规章和规范性文件开展了全面清理，并公开清理结果，及时对清理文件的有效性进行调整。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严格落实政府网站信息发布审核制度，积极做好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更新工作，及时处理政府信息公开申请。同时加强对信息发布的审核和管理，确保政府信息公开的准确性、完整性、权威性和时效性。</w:t>
      </w:r>
    </w:p>
    <w:p w14:paraId="6EBE43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eastAsia="仿宋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（四）政府信息公开平台建设。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完善平台功能，加强监督保障。一是严格按照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事项标准目录，全面优化政府网站栏目设置，确保所有主动公开事项都有相应栏目；二是严格按照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公开制度，加强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公开审核，严把质量关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确保政府信息公开全面、更新及时。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我区被市政府办公室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确立为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惠企政策宣传试点。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月，省政府办公厅到我区实地调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研时，对我区的工作表示了充分肯定。“河北惠企利民政策通”沧州平台正式上线，助力营商环境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优化，增强政策透明度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3A3FCA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坚持“谁产生、谁审核、谁负责”的原则，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做好职责范围内相关栏目内容的审核、报送，并对本单位产生文件和信息的合法性、准确性、及时性、完整性、有效性负责，并确保信息内容不涉密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提升和改进我区政府信息公开工作起到了良好的促进作用。</w:t>
      </w:r>
    </w:p>
    <w:p w14:paraId="103B32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7"/>
        <w:tblW w:w="8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999"/>
        <w:gridCol w:w="2204"/>
        <w:gridCol w:w="2612"/>
      </w:tblGrid>
      <w:tr w14:paraId="312A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C74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3D82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36F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8DD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AA8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DE8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4803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DC5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7D0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846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10D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4076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7FC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714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6BC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390A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48F0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217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79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41B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653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4E32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641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3F3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3117</w:t>
            </w:r>
          </w:p>
        </w:tc>
      </w:tr>
      <w:tr w14:paraId="6086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71D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0BB8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A08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0D8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3C33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1B3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607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7D93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58A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336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 w14:paraId="6DD6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DF6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45E6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A9D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192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2FD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79D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E22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127.9     </w:t>
            </w:r>
          </w:p>
        </w:tc>
      </w:tr>
    </w:tbl>
    <w:p w14:paraId="7ED00A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960" w:firstLineChars="3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22"/>
        <w:gridCol w:w="2815"/>
        <w:gridCol w:w="601"/>
        <w:gridCol w:w="600"/>
        <w:gridCol w:w="600"/>
        <w:gridCol w:w="600"/>
        <w:gridCol w:w="600"/>
        <w:gridCol w:w="606"/>
        <w:gridCol w:w="608"/>
      </w:tblGrid>
      <w:tr w14:paraId="2C18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430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937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244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8D3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43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6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B82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833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039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272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43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0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F4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D63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77581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F02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499894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03E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027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254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D6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C36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B6C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A8D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98B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E44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E106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0FE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1F5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F4B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4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D8F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E8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4F9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9D4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FA7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4BA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8C8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2EDC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7BE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9F7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28A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4A2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94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07C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A38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F68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4E9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B6E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BE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F5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D0F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22E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99F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26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387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DDA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9BB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F55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C4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2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839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C7A3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BB1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C53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357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120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B79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B0C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4C2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D08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19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AA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A4E0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88D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C72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902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373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5BD7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FB7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B9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6108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5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31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3227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811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927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CA2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4FA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94D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7E4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D06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8A6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8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6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FAF8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D92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AE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DD9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5AD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AD2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3ED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8F7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901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28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38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0295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110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D45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DB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DCA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233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9A8C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D28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66D8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4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5E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33B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19A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142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2A8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D42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E13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A5A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F8C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936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2C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31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E6FE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30F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79F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42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DA9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545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4A7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9D8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A16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08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0D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65D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EC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454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65E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756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DF1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A05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F91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48D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AF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D2C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48439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D79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59A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52C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390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977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9F3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228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D1C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A7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8B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1228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01C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534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E02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725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DF88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F00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687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4917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5B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1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2896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F29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E1A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515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CED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0D1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126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F8D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328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56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FD9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371F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7C0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8F8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834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175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25E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600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C51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BB2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BA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D2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1A4E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521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4A9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EF8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FD1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FB5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4F5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4C7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9E6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91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E6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49CA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7E5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4E3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2AB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25B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875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452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1A1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567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0F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A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9594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CC8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309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B3D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1C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A01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5AE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B4A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AA1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E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E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F53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D6F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C20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A38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1A9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63B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12D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147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214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8E0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8EC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445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6E2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0C9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D15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E32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32A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F0E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27A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DB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B0E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9A7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19D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FEF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255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66C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FF1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C00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736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EF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CA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6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487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7CE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324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B21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E85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CE1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895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E8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CE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1D7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199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B95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E31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F3F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04E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C1F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F16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742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970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57B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1E6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093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DC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09C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EFA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F4B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C6AC43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8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548"/>
        <w:gridCol w:w="541"/>
        <w:gridCol w:w="548"/>
        <w:gridCol w:w="433"/>
        <w:gridCol w:w="515"/>
        <w:gridCol w:w="555"/>
        <w:gridCol w:w="591"/>
        <w:gridCol w:w="548"/>
        <w:gridCol w:w="877"/>
        <w:gridCol w:w="574"/>
        <w:gridCol w:w="565"/>
        <w:gridCol w:w="609"/>
        <w:gridCol w:w="565"/>
        <w:gridCol w:w="542"/>
      </w:tblGrid>
      <w:tr w14:paraId="2B9C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6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2FE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52B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93C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9FA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90A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5DC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5DA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7B8D45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36D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800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597C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7AA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E4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B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3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73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1A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D0F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067D5D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3B8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36EF92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642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 w14:paraId="00DBD1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A51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0F5A81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4C8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 w14:paraId="520A59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F1E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560CAC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F50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64C41A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502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 w14:paraId="31B3CCA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211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0ABC9F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084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F3B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04C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C38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220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 0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9D1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A38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ED9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167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 0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358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B8C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A94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78E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 0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BF3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 0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1D5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 0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324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0 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649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226E7A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五、存在的主要问题及改进情况</w:t>
      </w:r>
    </w:p>
    <w:p w14:paraId="1C3068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稳步推进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仍存在需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进一步加强的方面，主要表现在：政府信息公开平台建设需要进一步加强，政策发布解读的质效有待进一步提升，政务公开标准化规范化工作需要向纵深推进等。</w:t>
      </w:r>
    </w:p>
    <w:p w14:paraId="0C864DF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（二）改进情况。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一是持续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政务公开标准化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规范化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水平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，健全政务公开标准体系。二是加强和改进政策发布解读回应工作，提升政策解读的精准性、实效性。三是加强信息公开日常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培训工作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通过集中培训、专题座谈会等多种方式，提升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整体水平。</w:t>
      </w:r>
    </w:p>
    <w:p w14:paraId="3FBC4FA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</w:rPr>
        <w:t>六、其他需要报告的事项</w:t>
      </w:r>
    </w:p>
    <w:p w14:paraId="5F3DBE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党政办公室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未收取任何单位及个人政府信息处理费用。</w:t>
      </w:r>
    </w:p>
    <w:p w14:paraId="09AA1C5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1F4AF2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06A1F21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河北沧州经济开发区党政办公室</w:t>
      </w:r>
    </w:p>
    <w:p w14:paraId="0176648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16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                2024年1月24日</w:t>
      </w:r>
    </w:p>
    <w:p w14:paraId="33BF2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6BA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67F95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67F95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E3986"/>
    <w:multiLevelType w:val="singleLevel"/>
    <w:tmpl w:val="85BE39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mQ3N2M1NzEzODAxOGM0YWIwY2FhYmZhYjY5YTMifQ=="/>
  </w:docVars>
  <w:rsids>
    <w:rsidRoot w:val="00000000"/>
    <w:rsid w:val="018D0F17"/>
    <w:rsid w:val="03AA1E68"/>
    <w:rsid w:val="04531FA4"/>
    <w:rsid w:val="050740D1"/>
    <w:rsid w:val="05873555"/>
    <w:rsid w:val="05DA19DE"/>
    <w:rsid w:val="0E1C3D4F"/>
    <w:rsid w:val="102066F7"/>
    <w:rsid w:val="12E22723"/>
    <w:rsid w:val="144D32ED"/>
    <w:rsid w:val="14636F71"/>
    <w:rsid w:val="1C1B4583"/>
    <w:rsid w:val="1C5D5ABE"/>
    <w:rsid w:val="1CC70FB6"/>
    <w:rsid w:val="1EBF00F3"/>
    <w:rsid w:val="1FF9C598"/>
    <w:rsid w:val="25CE3EDF"/>
    <w:rsid w:val="28111CAF"/>
    <w:rsid w:val="28CB011A"/>
    <w:rsid w:val="2B424B3A"/>
    <w:rsid w:val="2B8F31CF"/>
    <w:rsid w:val="2C9805ED"/>
    <w:rsid w:val="2F87CA5C"/>
    <w:rsid w:val="35574B92"/>
    <w:rsid w:val="35BF2E57"/>
    <w:rsid w:val="376F528E"/>
    <w:rsid w:val="37B62C37"/>
    <w:rsid w:val="39903780"/>
    <w:rsid w:val="3BC578D7"/>
    <w:rsid w:val="3D60028F"/>
    <w:rsid w:val="3DF758B1"/>
    <w:rsid w:val="40E165AE"/>
    <w:rsid w:val="4CFFD5A4"/>
    <w:rsid w:val="4EE4720A"/>
    <w:rsid w:val="514C300C"/>
    <w:rsid w:val="54A32352"/>
    <w:rsid w:val="55B341DE"/>
    <w:rsid w:val="57DB7E78"/>
    <w:rsid w:val="59376914"/>
    <w:rsid w:val="5A2D0DE5"/>
    <w:rsid w:val="5B004127"/>
    <w:rsid w:val="5BB53315"/>
    <w:rsid w:val="5D117222"/>
    <w:rsid w:val="5D131446"/>
    <w:rsid w:val="5D774518"/>
    <w:rsid w:val="5D9F59E4"/>
    <w:rsid w:val="5E6F0ECD"/>
    <w:rsid w:val="5F6E3DBC"/>
    <w:rsid w:val="61033A8E"/>
    <w:rsid w:val="612E1B4C"/>
    <w:rsid w:val="63006047"/>
    <w:rsid w:val="639EF7EC"/>
    <w:rsid w:val="65FD09A6"/>
    <w:rsid w:val="68F3285B"/>
    <w:rsid w:val="6C0F6C7E"/>
    <w:rsid w:val="6F982479"/>
    <w:rsid w:val="737701EC"/>
    <w:rsid w:val="75EE31D0"/>
    <w:rsid w:val="75FB0072"/>
    <w:rsid w:val="77BE294D"/>
    <w:rsid w:val="794E7636"/>
    <w:rsid w:val="7EF69600"/>
    <w:rsid w:val="9FB746BE"/>
    <w:rsid w:val="A6ED68A7"/>
    <w:rsid w:val="B9CCEA80"/>
    <w:rsid w:val="BE37876E"/>
    <w:rsid w:val="D7D3CF5B"/>
    <w:rsid w:val="DBFB7438"/>
    <w:rsid w:val="EF6D4784"/>
    <w:rsid w:val="FAFFE3C4"/>
    <w:rsid w:val="FB7FCBE7"/>
    <w:rsid w:val="FEBF77B8"/>
    <w:rsid w:val="FEE9E4DC"/>
    <w:rsid w:val="FFA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1101</Words>
  <Characters>1131</Characters>
  <Lines>0</Lines>
  <Paragraphs>0</Paragraphs>
  <TotalTime>45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2024-01-03T09:26:00Z</dcterms:created>
  <dc:creator>lenovo</dc:creator>
  <cp:lastModifiedBy>康康WALL·E</cp:lastModifiedBy>
  <cp:lastPrinted>2025-01-24T17:00:00Z</cp:lastPrinted>
  <dcterms:modified xsi:type="dcterms:W3CDTF">2025-01-26T07:18:44Z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9BF361ADE5F74298A60C7388EF3B6150_13</vt:lpwstr>
  </property>
  <property fmtid="{D5CDD505-2E9C-101B-9397-08002B2CF9AE}" pid="4" name="KSOTemplateDocerSaveRecord">
    <vt:lpwstr>eyJoZGlkIjoiMjkwODk0YTljYTk3NDJhNWUzM2Q4ZWQ5YjA3Y2NhMTciLCJ1c2VySWQiOiI4NjY5NDcyODQifQ==</vt:lpwstr>
  </property>
</Properties>
</file>